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37.png" ContentType="image/png"/>
  <Override PartName="/word/media/rId165.png" ContentType="image/png"/>
  <Override PartName="/word/media/rId149.png" ContentType="image/png"/>
  <Override PartName="/word/media/rId176.jpg" ContentType="image/jpeg"/>
  <Override PartName="/word/media/rId170.jpg" ContentType="image/jpeg"/>
  <Override PartName="/word/media/rId172.jpg" ContentType="image/jpeg"/>
  <Override PartName="/word/media/rId168.jpg" ContentType="image/jpeg"/>
  <Override PartName="/word/media/rId178.jpg" ContentType="image/jpeg"/>
  <Override PartName="/word/media/rId180.jpg" ContentType="image/jpeg"/>
  <Override PartName="/word/media/rId174.jpg" ContentType="image/jpeg"/>
  <Override PartName="/word/media/rId154.png" ContentType="image/png"/>
  <Override PartName="/word/media/rId187.png" ContentType="image/png"/>
  <Override PartName="/word/media/rId157.png" ContentType="image/png"/>
  <Override PartName="/word/media/rId182.png" ContentType="image/png"/>
  <Override PartName="/word/media/rId76.png" ContentType="image/png"/>
  <Override PartName="/word/media/rId513.png" ContentType="image/png"/>
  <Override PartName="/word/media/rId512.png" ContentType="image/png"/>
  <Override PartName="/word/media/rId66.png" ContentType="image/png"/>
  <Override PartName="/word/media/rId1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Lipids</w:t>
      </w:r>
      <w:r>
        <w:t xml:space="preserve"> </w:t>
      </w:r>
      <w:r>
        <w:t xml:space="preserve">and</w:t>
      </w:r>
      <w:r>
        <w:t xml:space="preserve"> </w:t>
      </w:r>
      <w:r>
        <w:t xml:space="preserve">dementia:</w:t>
      </w:r>
      <w:r>
        <w:br/>
      </w:r>
      <w:r>
        <w:t xml:space="preserve">An</w:t>
      </w:r>
      <w:r>
        <w:t xml:space="preserve"> </w:t>
      </w:r>
      <w:r>
        <w:t xml:space="preserve">investigation</w:t>
      </w:r>
      <w:r>
        <w:t xml:space="preserve"> </w:t>
      </w:r>
      <w:r>
        <w:t xml:space="preserve">of</w:t>
      </w:r>
      <w:r>
        <w:t xml:space="preserve"> </w:t>
      </w:r>
      <w:r>
        <w:t xml:space="preserve">their</w:t>
      </w:r>
      <w:r>
        <w:t xml:space="preserve"> </w:t>
      </w:r>
      <w:r>
        <w:t xml:space="preserve">relationship</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22499</w:t>
      </w:r>
    </w:p>
    <w:p>
      <w:pPr>
        <w:pStyle w:val="BodyText"/>
      </w:pPr>
      <w:r>
        <w:t xml:space="preserve">Days: 203</w:t>
      </w:r>
    </w:p>
    <w:p>
      <w:pPr>
        <w:pStyle w:val="BodyText"/>
      </w:pPr>
      <w:r>
        <w:t xml:space="preserve">Words behind: -2772</w:t>
      </w:r>
    </w:p>
    <w:p>
      <w:pPr>
        <w:pStyle w:val="BodyText"/>
      </w:pPr>
      <w:r>
        <w:t xml:space="preserve">Words today: 276</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27" w:name="intro-heading"/>
    <w:p>
      <w:pPr>
        <w:pStyle w:val="Heading1"/>
      </w:pPr>
      <w:r>
        <w:t xml:space="preserve">Introduction</w:t>
      </w:r>
    </w:p>
    <w:p>
      <w:pPr>
        <w:pStyle w:val="FirstParagraph"/>
      </w:pPr>
    </w:p>
    <w:bookmarkStart w:id="26" w:name="additional-ideas"/>
    <w:p>
      <w:pPr>
        <w:pStyle w:val="Heading2"/>
      </w:pPr>
      <w:r>
        <w:t xml:space="preserve">Additional ideas</w:t>
      </w:r>
    </w:p>
    <w:bookmarkStart w:id="22" w:name="general"/>
    <w:p>
      <w:pPr>
        <w:pStyle w:val="Heading3"/>
      </w:pPr>
      <w:r>
        <w:t xml:space="preserve">General</w:t>
      </w:r>
    </w:p>
    <w:p>
      <w:pPr>
        <w:numPr>
          <w:ilvl w:val="0"/>
          <w:numId w:val="1001"/>
        </w:numPr>
      </w:pPr>
      <w:r>
        <w:t xml:space="preserve">Explore difference/similarities between the published and unpublished literature, potentially formally, using funnel plots and also by following up preprints to see if they are eventually published. Limit to the date we ran the original search and see if any study included in the study had not been published by the time the review was finished.</w:t>
      </w:r>
    </w:p>
    <w:p>
      <w:pPr>
        <w:numPr>
          <w:ilvl w:val="0"/>
          <w:numId w:val="1001"/>
        </w:numPr>
      </w:pPr>
      <w:r>
        <w:t xml:space="preserve">Compare and contrast the codes used to find the AzD cases in the previous study and in this study, potentially with a view to contrasting misclassification between the two.</w:t>
      </w:r>
    </w:p>
    <w:bookmarkEnd w:id="22"/>
    <w:bookmarkStart w:id="23" w:name="background"/>
    <w:p>
      <w:pPr>
        <w:pStyle w:val="Heading3"/>
      </w:pPr>
      <w:r>
        <w:t xml:space="preserve">Background</w:t>
      </w:r>
    </w:p>
    <w:bookmarkEnd w:id="23"/>
    <w:bookmarkStart w:id="24" w:name="medrxivr"/>
    <w:p>
      <w:pPr>
        <w:pStyle w:val="Heading3"/>
      </w:pPr>
      <w:r>
        <w:t xml:space="preserve">medrxivr</w:t>
      </w:r>
    </w:p>
    <w:bookmarkEnd w:id="24"/>
    <w:bookmarkStart w:id="25" w:name="section"/>
    <w:p>
      <w:pPr>
        <w:pStyle w:val="Heading3"/>
      </w:pPr>
    </w:p>
    <w:p>
      <w:pPr>
        <w:pStyle w:val="FirstParagraph"/>
      </w:pPr>
      <w:r>
        <w:t xml:space="preserve"> </w:t>
      </w:r>
    </w:p>
    <w:bookmarkEnd w:id="25"/>
    <w:bookmarkEnd w:id="26"/>
    <w:bookmarkEnd w:id="27"/>
    <w:bookmarkStart w:id="63" w:name="background-heading"/>
    <w:p>
      <w:pPr>
        <w:pStyle w:val="Heading1"/>
      </w:pPr>
      <w:r>
        <w:t xml:space="preserve">Background, Theoretical framework, Aims &amp; Objectives</w:t>
      </w:r>
    </w:p>
    <w:p>
      <w:pPr>
        <w:pStyle w:val="FirstParagraph"/>
      </w:pPr>
    </w:p>
    <w:bookmarkStart w:id="28" w:name="lay-summary"/>
    <w:p>
      <w:pPr>
        <w:pStyle w:val="Heading2"/>
      </w:pPr>
      <w:r>
        <w:t xml:space="preserve">Lay summary</w:t>
      </w:r>
    </w:p>
    <w:p>
      <w:pPr>
        <w:pStyle w:val="FirstParagraph"/>
      </w:pPr>
      <w:r>
        <w:t xml:space="preserve">[Note: see Section</w:t>
      </w:r>
      <w:r>
        <w:t xml:space="preserve"> </w:t>
      </w:r>
      <w:r>
        <w:t xml:space="preserve">2.7.2</w:t>
      </w:r>
      <w:r>
        <w:t xml:space="preserve"> </w:t>
      </w:r>
      <w:r>
        <w:t xml:space="preserve">for details on the layout of each chapter.]</w:t>
      </w:r>
    </w:p>
    <w:p>
      <w:pPr>
        <w:pStyle w:val="BodyText"/>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8"/>
    <w:bookmarkStart w:id="29"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9"/>
    <w:bookmarkStart w:id="35" w:name="dementia"/>
    <w:p>
      <w:pPr>
        <w:pStyle w:val="Heading2"/>
      </w:pPr>
      <w:r>
        <w:t xml:space="preserve">Dementia</w:t>
      </w:r>
    </w:p>
    <w:bookmarkStart w:id="30"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vertAlign w:val="superscript"/>
          </w:rPr>
          <w:t xml:space="preserve">1</w:t>
        </w:r>
      </w:hyperlink>
      <w:r>
        <w:t xml:space="preserve"> </w:t>
      </w:r>
      <w:r>
        <w:t xml:space="preserve">At advanced stage, the condition causes severe behavioral and personality changes,</w:t>
      </w:r>
      <w:hyperlink w:anchor="ref-cerejeira2012">
        <w:r>
          <w:rPr>
            <w:rStyle w:val="Hyperlink"/>
            <w:vertAlign w:val="superscript"/>
          </w:rPr>
          <w:t xml:space="preserve">2</w:t>
        </w:r>
      </w:hyperlink>
      <w:r>
        <w:t xml:space="preserve"> </w:t>
      </w:r>
      <w:r>
        <w:t xml:space="preserve">cumulating in reduced motor control that affects patients ability to swallow or breathe.</w:t>
      </w:r>
      <w:hyperlink w:anchor="ref-kumar2013">
        <w:r>
          <w:rPr>
            <w:rStyle w:val="Hyperlink"/>
            <w:vertAlign w:val="superscript"/>
          </w:rPr>
          <w:t xml:space="preserve">3</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4</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5</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5</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5</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6</w:t>
        </w:r>
      </w:hyperlink>
      <w:r>
        <w:t xml:space="preserve"> </w:t>
      </w:r>
      <w:r>
        <w:t xml:space="preserve">Similarly, due to the varied underlying pathophysiology, vascular dementia can onset either quite rapidly following a cerebrovascular event such as a stroke or over a long time-frame due to a series of small infarcts.</w:t>
      </w:r>
      <w:hyperlink w:anchor="ref-venkat2015">
        <w:r>
          <w:rPr>
            <w:rStyle w:val="Hyperlink"/>
            <w:vertAlign w:val="superscript"/>
          </w:rPr>
          <w:t xml:space="preserve">7</w:t>
        </w:r>
      </w:hyperlink>
      <w:r>
        <w:t xml:space="preserve"> </w:t>
      </w:r>
      <w:r>
        <w:t xml:space="preserve">Vascular dementia regularly co-occurs in patients with Alzheimer’s disease.</w:t>
      </w:r>
      <w:hyperlink w:anchor="ref-iadecola2013">
        <w:r>
          <w:rPr>
            <w:rStyle w:val="Hyperlink"/>
            <w:vertAlign w:val="superscript"/>
          </w:rPr>
          <w:t xml:space="preserve">6</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8</w:t>
        </w:r>
      </w:hyperlink>
      <w:r>
        <w:t xml:space="preserve"> </w:t>
      </w:r>
      <w:r>
        <w:t xml:space="preserve">and occurs in approximately 25% of cases.</w:t>
      </w:r>
      <w:hyperlink w:anchor="ref-burns2009">
        <w:r>
          <w:rPr>
            <w:rStyle w:val="Hyperlink"/>
            <w:vertAlign w:val="superscript"/>
          </w:rPr>
          <w:t xml:space="preserve">4</w:t>
        </w:r>
      </w:hyperlink>
    </w:p>
    <w:p>
      <w:pPr>
        <w:pStyle w:val="BodyText"/>
      </w:pPr>
      <w:r>
        <w:t xml:space="preserve">The remaining 10-30% of cases are caused by other dementia subtypes (e.g. Lewy body dementia, frontotemporal dementia) or by progression of other neurological diseases (e.g. Parkinson’s disease).</w:t>
      </w:r>
      <w:hyperlink w:anchor="ref-burns2009">
        <w:r>
          <w:rPr>
            <w:rStyle w:val="Hyperlink"/>
            <w:vertAlign w:val="superscript"/>
          </w:rPr>
          <w:t xml:space="preserve">4</w:t>
        </w:r>
      </w:hyperlink>
    </w:p>
    <w:bookmarkEnd w:id="30"/>
    <w:bookmarkStart w:id="31"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5</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w:t>
      </w:r>
      <w:r>
        <w:t xml:space="preserve"> </w:t>
      </w:r>
      <w:bookmarkStart w:id="b8c9090a-a038-426e-ae5c-6ea8f1621b8f" w:name="tab:diagnosticCriteria-table"/>
      <w:r>
        <w:t xml:space="preserve">Overview of the DSM-5 criteria for dementia and vascular dementia.[@edition2013diagnostic]</w:t>
      </w:r>
      <w:bookmarkEnd w:id="b8c9090a-a038-426e-ae5c-6ea8f1621b8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Criterion</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Major neurocognitive event (previously dementia)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Evidence of significant cognitive decline from a previous level of performance in one or more cognitive domains:*  - Learning and memory  - Language  - Executive function  - Complex attention  - Perceptual-motor  - Social cognition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interfere with independence in everyday activities. At a minimum, assistance should be required with complex instrumental activities of daily living, such as paying bills or managing medications.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do not occur exclusively in the context of a delirium. </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are not better explained by another mental disorder (eg, major depressive disorder, schizophrenia).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vertAlign w:val="superscript"/>
          </w:rPr>
          <w:t xml:space="preserve">1</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9</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expected progression and potential treatment options available (see Section</w:t>
      </w:r>
      <w:r>
        <w:t xml:space="preserve"> </w:t>
      </w:r>
      <w:r>
        <w:t xml:space="preserve">2.3.4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10</w:t>
        </w:r>
      </w:hyperlink>
      <w:r>
        <w:t xml:space="preserve"> </w:t>
      </w:r>
      <w:r>
        <w:t xml:space="preserve">while vascular dementia is diagnosed using the NINCDS-AIREN criteria.</w:t>
      </w:r>
      <w:hyperlink w:anchor="ref-roman1993vascular">
        <w:r>
          <w:rPr>
            <w:rStyle w:val="Hyperlink"/>
            <w:vertAlign w:val="superscript"/>
          </w:rPr>
          <w:t xml:space="preserve">11</w:t>
        </w:r>
      </w:hyperlink>
    </w:p>
    <w:bookmarkEnd w:id="31"/>
    <w:bookmarkStart w:id="32"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12</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13</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14</w:t>
        </w:r>
      </w:hyperlink>
      <w:r>
        <w:t xml:space="preserve"> </w:t>
      </w:r>
      <w:r>
        <w:t xml:space="preserve">Globally, the prevalence of dementia is expected to reach 75 million by 2030.</w:t>
      </w:r>
      <w:hyperlink w:anchor="ref-prince2016">
        <w:r>
          <w:rPr>
            <w:rStyle w:val="Hyperlink"/>
            <w:vertAlign w:val="superscript"/>
          </w:rPr>
          <w:t xml:space="preserve">12</w:t>
        </w:r>
      </w:hyperlink>
      <w:r>
        <w:t xml:space="preserve"> </w:t>
      </w:r>
      <w:r>
        <w:t xml:space="preserve">Dementia is the leading cause of death in the UK, and the only one without a proven cure.</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15</w:t>
        </w:r>
      </w:hyperlink>
      <w:r>
        <w:t xml:space="preserve"> </w:t>
      </w:r>
      <w:r>
        <w:t xml:space="preserve">Globally, the cost of dementia care is expected to rise to $1tr by 2030.</w:t>
      </w:r>
      <w:hyperlink w:anchor="ref-prince2014dementia">
        <w:r>
          <w:rPr>
            <w:rStyle w:val="Hyperlink"/>
            <w:vertAlign w:val="superscript"/>
          </w:rPr>
          <w:t xml:space="preserve">16</w:t>
        </w:r>
      </w:hyperlink>
    </w:p>
    <w:p>
      <w:pPr>
        <w:pStyle w:val="BodyText"/>
      </w:pPr>
      <w:r>
        <w:t xml:space="preserve">As such, the urgent need to reduce the burden of dementia, both at the personal and system level, is clear.</w:t>
      </w:r>
    </w:p>
    <w:bookmarkEnd w:id="32"/>
    <w:bookmarkStart w:id="33"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17</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18</w:t>
        </w:r>
      </w:hyperlink>
      <w:r>
        <w:t xml:space="preserve"> </w:t>
      </w:r>
      <w:r>
        <w:t xml:space="preserve">Commonly prescribed ACE inhibitors include donepezil and galantamine.</w:t>
      </w:r>
      <w:hyperlink w:anchor="ref-pariente2008">
        <w:r>
          <w:rPr>
            <w:rStyle w:val="Hyperlink"/>
            <w:vertAlign w:val="superscript"/>
          </w:rPr>
          <w:t xml:space="preserve">19</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20</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21</w:t>
        </w:r>
      </w:hyperlink>
    </w:p>
    <w:bookmarkEnd w:id="33"/>
    <w:bookmarkStart w:id="34"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vertAlign w:val="superscript"/>
          </w:rPr>
          <w:t xml:space="preserve">22</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23</w:t>
        </w:r>
      </w:hyperlink>
      <w:r>
        <w:rPr>
          <w:vertAlign w:val="superscript"/>
        </w:rPr>
        <w:t xml:space="preserve">–</w:t>
      </w:r>
      <w:hyperlink w:anchor="ref-ansteya">
        <w:r>
          <w:rPr>
            <w:rStyle w:val="Hyperlink"/>
            <w:vertAlign w:val="superscript"/>
          </w:rPr>
          <w:t xml:space="preserve">25</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vertAlign w:val="superscript"/>
          </w:rPr>
          <w:t xml:space="preserve">26</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27</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vertAlign w:val="superscript"/>
          </w:rPr>
          <w:t xml:space="preserve">28</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2.5</w:t>
      </w:r>
      <w:r>
        <w:t xml:space="preserve"> </w:t>
      </w:r>
      <w:r>
        <w:t xml:space="preserve">provides an overview of the existing evidence for an association between lipids and dementia outcomes.</w:t>
      </w:r>
    </w:p>
    <w:bookmarkEnd w:id="34"/>
    <w:bookmarkEnd w:id="35"/>
    <w:bookmarkStart w:id="40" w:name="serum-lipids"/>
    <w:p>
      <w:pPr>
        <w:pStyle w:val="Heading2"/>
      </w:pPr>
      <w:r>
        <w:t xml:space="preserve">Serum lipids</w:t>
      </w:r>
    </w:p>
    <w:bookmarkStart w:id="36" w:name="intro-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23</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29</w:t>
        </w:r>
      </w:hyperlink>
      <w:r>
        <w:t xml:space="preserve"> </w:t>
      </w:r>
      <w:r>
        <w:t xml:space="preserve">In contrast, cholesterol is primarily used to create cell walls and certain sex hormones.</w:t>
      </w:r>
      <w:hyperlink w:anchor="ref-zampelas2019">
        <w:r>
          <w:rPr>
            <w:rStyle w:val="Hyperlink"/>
            <w:vertAlign w:val="superscript"/>
          </w:rPr>
          <w:t xml:space="preserve">30</w:t>
        </w:r>
      </w:hyperlink>
      <w:r>
        <w:t xml:space="preserve"> </w:t>
      </w:r>
      <w:r>
        <w:t xml:space="preserve">As lipids are not water soluble, within the blood stream, cholesterol is transported in lipoprotein structures of varying densities. Low-density-lipoprotein 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 cholesterol (HDL-c), transports cholesterol to the liver to be broken down and excreted.</w:t>
      </w:r>
      <w:hyperlink w:anchor="ref-feingold2000">
        <w:r>
          <w:rPr>
            <w:rStyle w:val="Hyperlink"/>
            <w:vertAlign w:val="superscript"/>
          </w:rPr>
          <w:t xml:space="preserve">23</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31</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32</w:t>
        </w:r>
      </w:hyperlink>
      <w:r>
        <w:t xml:space="preserve">, and are outlined in Table</w:t>
      </w:r>
      <w:r>
        <w:t xml:space="preserve"> </w:t>
      </w:r>
      <w:r>
        <w:t xml:space="preserve">2</w:t>
      </w:r>
      <w:r>
        <w:t xml:space="preserve">.</w:t>
      </w:r>
    </w:p>
    <w:p>
      <w:pPr>
        <w:pStyle w:val="BodyText"/>
      </w:pPr>
      <w:r>
        <w:t xml:space="preserve"> </w:t>
      </w:r>
    </w:p>
    <w:p>
      <w:pPr>
        <w:pStyle w:val="TableCaption"/>
      </w:pPr>
      <w:r>
        <w:t xml:space="preserve">Table 2: Classification of blood lipid levels according to the National Cholesterol Education Program guidelines.</w:t>
      </w:r>
      <w:hyperlink w:anchor="ref-national2002third">
        <w:r>
          <w:rPr>
            <w:rStyle w:val="Hyperlink"/>
            <w:vertAlign w:val="superscript"/>
          </w:rPr>
          <w:t xml:space="preserve">32</w:t>
        </w:r>
      </w:hyperlink>
    </w:p>
    <w:tbl>
      <w:tblPr>
        <w:tblStyle w:val="Table"/>
        <w:tblW w:type="pct" w:w="0.0"/>
        <w:tblLook w:firstRow="1" w:lastRow="0" w:firstColumn="0" w:lastColumn="0" w:noHBand="0" w:noVBand="0" w:val="0020"/>
        <w:tblCaption w:val="Table 2: Classification of blood lipid levels according to the National Cholesterol Education Program guidelines.32"/>
      </w:tblPr>
      <w:tblGrid/>
      <w:tr>
        <w:tc>
          <w:p>
            <w:pPr>
              <w:pStyle w:val="Compact"/>
              <w:jc w:val="left"/>
            </w:pPr>
            <w:r>
              <w:t xml:space="preserve">Fraction</w:t>
            </w:r>
          </w:p>
        </w:tc>
        <w:tc>
          <w:p>
            <w:pPr>
              <w:pStyle w:val="Compact"/>
              <w:jc w:val="left"/>
            </w:pPr>
            <w:r>
              <w:t xml:space="preserve">Measure (mg/dL)</w:t>
            </w:r>
          </w:p>
        </w:tc>
        <w:tc>
          <w:p>
            <w:pPr>
              <w:pStyle w:val="Compact"/>
              <w:jc w:val="left"/>
            </w:pPr>
            <w:r>
              <w:t xml:space="preserve">Classification</w:t>
            </w:r>
          </w:p>
        </w:tc>
      </w:tr>
      <w:tr>
        <w:tc>
          <w:p>
            <w:pPr>
              <w:pStyle w:val="Compact"/>
              <w:jc w:val="left"/>
            </w:pPr>
            <w:r>
              <w:t xml:space="preserve">LDL cholesterol</w:t>
            </w:r>
          </w:p>
        </w:tc>
        <w:tc>
          <w:p>
            <w:pPr>
              <w:pStyle w:val="Compact"/>
              <w:jc w:val="left"/>
            </w:pPr>
            <w:r>
              <w:t xml:space="preserve">&lt;100</w:t>
            </w:r>
          </w:p>
        </w:tc>
        <w:tc>
          <w:p>
            <w:pPr>
              <w:pStyle w:val="Compact"/>
              <w:jc w:val="left"/>
            </w:pPr>
            <w:r>
              <w:t xml:space="preserve">Optimal</w:t>
            </w:r>
          </w:p>
        </w:tc>
      </w:tr>
      <w:tr>
        <w:tc>
          <w:p>
            <w:pPr>
              <w:pStyle w:val="Compact"/>
              <w:jc w:val="left"/>
            </w:pPr>
            <w:r>
              <w:t xml:space="preserve">LDL cholesterol</w:t>
            </w:r>
          </w:p>
        </w:tc>
        <w:tc>
          <w:p>
            <w:pPr>
              <w:pStyle w:val="Compact"/>
              <w:jc w:val="left"/>
            </w:pPr>
            <w:r>
              <w:t xml:space="preserve">100-129</w:t>
            </w:r>
          </w:p>
        </w:tc>
        <w:tc>
          <w:p>
            <w:pPr>
              <w:pStyle w:val="Compact"/>
              <w:jc w:val="left"/>
            </w:pPr>
            <w:r>
              <w:t xml:space="preserve">Near/above optimal</w:t>
            </w:r>
          </w:p>
        </w:tc>
      </w:tr>
      <w:tr>
        <w:tc>
          <w:p>
            <w:pPr>
              <w:pStyle w:val="Compact"/>
              <w:jc w:val="left"/>
            </w:pPr>
            <w:r>
              <w:t xml:space="preserve">LDL cholesterol</w:t>
            </w:r>
          </w:p>
        </w:tc>
        <w:tc>
          <w:p>
            <w:pPr>
              <w:pStyle w:val="Compact"/>
              <w:jc w:val="left"/>
            </w:pPr>
            <w:r>
              <w:t xml:space="preserve">130-159</w:t>
            </w:r>
          </w:p>
        </w:tc>
        <w:tc>
          <w:p>
            <w:pPr>
              <w:pStyle w:val="Compact"/>
              <w:jc w:val="left"/>
            </w:pPr>
            <w:r>
              <w:t xml:space="preserve">Borderline high</w:t>
            </w:r>
          </w:p>
        </w:tc>
      </w:tr>
      <w:tr>
        <w:tc>
          <w:p>
            <w:pPr>
              <w:pStyle w:val="Compact"/>
              <w:jc w:val="left"/>
            </w:pPr>
            <w:r>
              <w:t xml:space="preserve">LDL cholesterol</w:t>
            </w:r>
          </w:p>
        </w:tc>
        <w:tc>
          <w:p>
            <w:pPr>
              <w:pStyle w:val="Compact"/>
              <w:jc w:val="left"/>
            </w:pPr>
            <w:r>
              <w:t xml:space="preserve">160-189</w:t>
            </w:r>
          </w:p>
        </w:tc>
        <w:tc>
          <w:p>
            <w:pPr>
              <w:pStyle w:val="Compact"/>
              <w:jc w:val="left"/>
            </w:pPr>
            <w:r>
              <w:t xml:space="preserve">High</w:t>
            </w:r>
          </w:p>
        </w:tc>
      </w:tr>
      <w:tr>
        <w:tc>
          <w:p>
            <w:pPr>
              <w:pStyle w:val="Compact"/>
              <w:jc w:val="left"/>
            </w:pPr>
            <w:r>
              <w:t xml:space="preserve">LDL cholesterol</w:t>
            </w:r>
          </w:p>
        </w:tc>
        <w:tc>
          <w:p>
            <w:pPr>
              <w:pStyle w:val="Compact"/>
              <w:jc w:val="left"/>
            </w:pPr>
            <w:r>
              <w:t xml:space="preserve">&gt;190</w:t>
            </w:r>
          </w:p>
        </w:tc>
        <w:tc>
          <w:p>
            <w:pPr>
              <w:pStyle w:val="Compact"/>
              <w:jc w:val="left"/>
            </w:pPr>
            <w:r>
              <w:t xml:space="preserve">Very high</w:t>
            </w:r>
          </w:p>
        </w:tc>
      </w:tr>
      <w:tr>
        <w:tc>
          <w:p>
            <w:pPr>
              <w:pStyle w:val="Compact"/>
              <w:jc w:val="left"/>
            </w:pPr>
            <w:r>
              <w:t xml:space="preserve">HDL cholesterol</w:t>
            </w:r>
          </w:p>
        </w:tc>
        <w:tc>
          <w:p>
            <w:pPr>
              <w:pStyle w:val="Compact"/>
              <w:jc w:val="left"/>
            </w:pPr>
            <w:r>
              <w:t xml:space="preserve">&lt;40</w:t>
            </w:r>
          </w:p>
        </w:tc>
        <w:tc>
          <w:p>
            <w:pPr>
              <w:pStyle w:val="Compact"/>
              <w:jc w:val="left"/>
            </w:pPr>
            <w:r>
              <w:t xml:space="preserve">Low</w:t>
            </w:r>
          </w:p>
        </w:tc>
      </w:tr>
      <w:tr>
        <w:tc>
          <w:p>
            <w:pPr>
              <w:pStyle w:val="Compact"/>
              <w:jc w:val="left"/>
            </w:pPr>
            <w:r>
              <w:t xml:space="preserve">HDL cholesterol</w:t>
            </w:r>
          </w:p>
        </w:tc>
        <w:tc>
          <w:p>
            <w:pPr>
              <w:pStyle w:val="Compact"/>
              <w:jc w:val="left"/>
            </w:pPr>
            <w:r>
              <w:t xml:space="preserve">&gt;60</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&lt;150</w:t>
            </w:r>
          </w:p>
        </w:tc>
        <w:tc>
          <w:p>
            <w:pPr>
              <w:pStyle w:val="Compact"/>
              <w:jc w:val="left"/>
            </w:pPr>
            <w:r>
              <w:t xml:space="preserve">Normal</w:t>
            </w:r>
          </w:p>
        </w:tc>
      </w:tr>
      <w:tr>
        <w:tc>
          <w:p>
            <w:pPr>
              <w:pStyle w:val="Compact"/>
              <w:jc w:val="left"/>
            </w:pPr>
            <w:r>
              <w:t xml:space="preserve">Triglycerides</w:t>
            </w:r>
          </w:p>
        </w:tc>
        <w:tc>
          <w:p>
            <w:pPr>
              <w:pStyle w:val="Compact"/>
              <w:jc w:val="left"/>
            </w:pPr>
            <w:r>
              <w:t xml:space="preserve">150-199</w:t>
            </w:r>
          </w:p>
        </w:tc>
        <w:tc>
          <w:p>
            <w:pPr>
              <w:pStyle w:val="Compact"/>
              <w:jc w:val="left"/>
            </w:pPr>
            <w:r>
              <w:t xml:space="preserve">Borderline high</w:t>
            </w:r>
          </w:p>
        </w:tc>
      </w:tr>
      <w:tr>
        <w:tc>
          <w:p>
            <w:pPr>
              <w:pStyle w:val="Compact"/>
              <w:jc w:val="left"/>
            </w:pPr>
            <w:r>
              <w:t xml:space="preserve">Triglycerides</w:t>
            </w:r>
          </w:p>
        </w:tc>
        <w:tc>
          <w:p>
            <w:pPr>
              <w:pStyle w:val="Compact"/>
              <w:jc w:val="left"/>
            </w:pPr>
            <w:r>
              <w:t xml:space="preserve">200-499</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&gt;500</w:t>
            </w:r>
          </w:p>
        </w:tc>
        <w:tc>
          <w:p>
            <w:pPr>
              <w:pStyle w:val="Compact"/>
              <w:jc w:val="left"/>
            </w:pPr>
            <w:r>
              <w:t xml:space="preserve">Very high</w:t>
            </w:r>
          </w:p>
        </w:tc>
      </w:tr>
      <w:tr>
        <w:tc>
          <w:p>
            <w:pPr>
              <w:pStyle w:val="Compact"/>
              <w:jc w:val="left"/>
            </w:pPr>
            <w:r>
              <w:t xml:space="preserve">Total cholesterol</w:t>
            </w:r>
          </w:p>
        </w:tc>
        <w:tc>
          <w:p>
            <w:pPr>
              <w:pStyle w:val="Compact"/>
              <w:jc w:val="left"/>
            </w:pPr>
            <w:r>
              <w:t xml:space="preserve">&lt;200</w:t>
            </w:r>
          </w:p>
        </w:tc>
        <w:tc>
          <w:p>
            <w:pPr>
              <w:pStyle w:val="Compact"/>
              <w:jc w:val="left"/>
            </w:pPr>
            <w:r>
              <w:t xml:space="preserve">Desirable</w:t>
            </w:r>
          </w:p>
        </w:tc>
      </w:tr>
      <w:tr>
        <w:tc>
          <w:p>
            <w:pPr>
              <w:pStyle w:val="Compact"/>
              <w:jc w:val="left"/>
            </w:pPr>
            <w:r>
              <w:t xml:space="preserve">Total cholesterol</w:t>
            </w:r>
          </w:p>
        </w:tc>
        <w:tc>
          <w:p>
            <w:pPr>
              <w:pStyle w:val="Compact"/>
              <w:jc w:val="left"/>
            </w:pPr>
            <w:r>
              <w:t xml:space="preserve">200-239</w:t>
            </w:r>
          </w:p>
        </w:tc>
        <w:tc>
          <w:p>
            <w:pPr>
              <w:pStyle w:val="Compact"/>
              <w:jc w:val="left"/>
            </w:pPr>
            <w:r>
              <w:t xml:space="preserve">Borderline high</w:t>
            </w:r>
          </w:p>
        </w:tc>
      </w:tr>
      <w:tr>
        <w:tc>
          <w:p>
            <w:pPr>
              <w:pStyle w:val="Compact"/>
              <w:jc w:val="left"/>
            </w:pPr>
            <w:r>
              <w:t xml:space="preserve">Total cholesterol</w:t>
            </w:r>
          </w:p>
        </w:tc>
        <w:tc>
          <w:p>
            <w:pPr>
              <w:pStyle w:val="Compact"/>
              <w:jc w:val="left"/>
            </w:pPr>
            <w:r>
              <w:t xml:space="preserve">&gt;240</w:t>
            </w:r>
          </w:p>
        </w:tc>
        <w:tc>
          <w:p>
            <w:pPr>
              <w:pStyle w:val="Compact"/>
              <w:jc w:val="left"/>
            </w:pPr>
            <w:r>
              <w:t xml:space="preserve">High</w:t>
            </w:r>
          </w:p>
        </w:tc>
      </w:tr>
    </w:tbl>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33</w:t>
        </w:r>
      </w:hyperlink>
      <w:r>
        <w:t xml:space="preserve"> </w:t>
      </w:r>
      <w:r>
        <w:t xml:space="preserve">can lead to atherosclerosis,</w:t>
      </w:r>
      <w:hyperlink w:anchor="ref-libby2019">
        <w:r>
          <w:rPr>
            <w:rStyle w:val="Hyperlink"/>
            <w:vertAlign w:val="superscript"/>
          </w:rPr>
          <w:t xml:space="preserve">34</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34</w:t>
        </w:r>
      </w:hyperlink>
      <w:r>
        <w:t xml:space="preserve"> </w:t>
      </w:r>
      <w:r>
        <w:t xml:space="preserve">Globally, the prevalence of elevated cholesterol was estimated by the World Health Organization to be approximately 40%.</w:t>
      </w:r>
    </w:p>
    <w:bookmarkEnd w:id="36"/>
    <w:bookmarkStart w:id="38" w:name="intro-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35</w:t>
        </w:r>
      </w:hyperlink>
      <w:r>
        <w:t xml:space="preserve"> </w:t>
      </w:r>
      <w:r>
        <w:t xml:space="preserve">Statins inhibit the conversion of 3-hydroxy-3-methylglutaryl-coenzyme-A (HMG-CoA) into mevalonate, by competitively binding with HMG-CoA reductase (HMG-CoA-R). This conversion is a key rate-limiting step in the cholesterol biosynthesis pathway (see Figure</w:t>
      </w:r>
      <w:r>
        <w:t xml:space="preserve"> </w:t>
      </w:r>
      <w:r>
        <w:t xml:space="preserve">??</w:t>
      </w:r>
      <w:r>
        <w:t xml:space="preserve">), enabling statins to reduce effectively the production of LDL cholesterol.</w:t>
      </w:r>
    </w:p>
    <w:p>
      <w:pPr>
        <w:pStyle w:val="BodyText"/>
      </w:pPr>
      <w:r>
        <w:t xml:space="preserve"> </w:t>
      </w:r>
    </w:p>
    <w:p>
      <w:pPr>
        <w:pStyle w:val="BodyText"/>
      </w:pPr>
      <w:r>
        <w:t xml:space="preserve">(ref:statin-mechanisam-cap) Overivew of statins mechanism of action, inhibiting HMG-CoA reductase which controls the conversion of HMG-CoA to mevalonate, the rate-limiting step in cholesterol biosynthesis.</w:t>
      </w:r>
    </w:p>
    <w:p>
      <w:pPr>
        <w:pStyle w:val="CaptionedFigure"/>
      </w:pPr>
      <w:r>
        <w:drawing>
          <wp:inline>
            <wp:extent cx="5943600" cy="7217228"/>
            <wp:effectExtent b="0" l="0" r="0" t="0"/>
            <wp:docPr descr="Figure 1: (ref:statin-mechanisam-cap)" title="" id="1" name="Picture"/>
            <a:graphic>
              <a:graphicData uri="http://schemas.openxmlformats.org/drawingml/2006/picture">
                <pic:pic>
                  <pic:nvPicPr>
                    <pic:cNvPr descr="figures/background/statinPath.png" id="0" name="Picture"/>
                    <pic:cNvPicPr>
                      <a:picLocks noChangeArrowheads="1" noChangeAspect="1"/>
                    </pic:cNvPicPr>
                  </pic:nvPicPr>
                  <pic:blipFill>
                    <a:blip r:embed="rId37"/>
                    <a:stretch>
                      <a:fillRect/>
                    </a:stretch>
                  </pic:blipFill>
                  <pic:spPr bwMode="auto">
                    <a:xfrm>
                      <a:off x="0" y="0"/>
                      <a:ext cx="5943600" cy="7217228"/>
                    </a:xfrm>
                    <a:prstGeom prst="rect">
                      <a:avLst/>
                    </a:prstGeom>
                    <a:noFill/>
                    <a:ln w="9525">
                      <a:noFill/>
                      <a:headEnd/>
                      <a:tailEnd/>
                    </a:ln>
                  </pic:spPr>
                </pic:pic>
              </a:graphicData>
            </a:graphic>
          </wp:inline>
        </w:drawing>
      </w:r>
    </w:p>
    <w:p>
      <w:pPr>
        <w:pStyle w:val="ImageCaption"/>
      </w:pPr>
      <w:r>
        <w:t xml:space="preserve">Figure 1: (ref:statin-mechanisam-cap)</w:t>
      </w:r>
    </w:p>
    <w:p>
      <w:pPr>
        <w:pStyle w:val="BodyText"/>
      </w:pPr>
      <w:r>
        <w:t xml:space="preserve"> </w:t>
      </w:r>
    </w:p>
    <w:p>
      <w:pPr>
        <w:pStyle w:val="BodyText"/>
      </w:pPr>
      <w:r>
        <w:t xml:space="preserve">Several statin treatments have been widely available for some time (see Table</w:t>
      </w:r>
      <w:r>
        <w:t xml:space="preserve"> </w:t>
      </w:r>
      <w:r>
        <w:t xml:space="preserve">3</w:t>
      </w:r>
      <w:r>
        <w:t xml:space="preserve">). Depending on the statin and dosage prescribed, the average reduction in LDL-c concentrations ranges from 15% with low-intensity regimen (e.g. ravastatin 5 mg/day) up to 60% with a high-intensity regimen (e.g. rosuvastatin 80 mg/day).</w:t>
      </w:r>
      <w:hyperlink w:anchor="ref-collins2016a">
        <w:r>
          <w:rPr>
            <w:rStyle w:val="Hyperlink"/>
            <w:vertAlign w:val="superscript"/>
          </w:rPr>
          <w:t xml:space="preserve">36</w:t>
        </w:r>
      </w:hyperlink>
      <w:r>
        <w:rPr>
          <w:vertAlign w:val="superscript"/>
        </w:rPr>
        <w:t xml:space="preserve">,</w:t>
      </w:r>
      <w:hyperlink w:anchor="ref-law2003">
        <w:r>
          <w:rPr>
            <w:rStyle w:val="Hyperlink"/>
            <w:vertAlign w:val="superscript"/>
          </w:rPr>
          <w:t xml:space="preserve">37</w:t>
        </w:r>
      </w:hyperlink>
      <w:r>
        <w:t xml:space="preserve"> </w:t>
      </w:r>
      <w:r>
        <w:t xml:space="preserve">Statins also vary with regard to their lipophilicity (the extent to which they are lipid soluble), affecting their localisation within the body, with hydophilic statins being concentrated in the liver and lipophilic statins circualting more widely.</w:t>
      </w:r>
      <w:hyperlink w:anchor="ref-schachter2005">
        <w:r>
          <w:rPr>
            <w:rStyle w:val="Hyperlink"/>
            <w:vertAlign w:val="superscript"/>
          </w:rPr>
          <w:t xml:space="preserve">38</w:t>
        </w:r>
      </w:hyperlink>
      <w:r>
        <w:t xml:space="preserve"> </w:t>
      </w:r>
      <w:r>
        <w:t xml:space="preserve">This may create a divide in the pleiotropic affects of statins with differing lipophilicity, particularly given the ability of lipophilic statins to permeate the blood brain barrier.</w:t>
      </w:r>
      <w:hyperlink w:anchor="ref-sierra2011">
        <w:r>
          <w:rPr>
            <w:rStyle w:val="Hyperlink"/>
            <w:vertAlign w:val="superscript"/>
          </w:rPr>
          <w:t xml:space="preserve">39</w:t>
        </w:r>
      </w:hyperlink>
    </w:p>
    <w:p>
      <w:pPr>
        <w:pStyle w:val="BodyText"/>
      </w:pPr>
      <w:r>
        <w:t xml:space="preserve"> </w:t>
      </w:r>
    </w:p>
    <w:p>
      <w:pPr>
        <w:pStyle w:val="TableCaption"/>
      </w:pPr>
      <w:r>
        <w:t xml:space="preserve">Table 3: Overview of commonly-prescribed statins, summarising their approval date (US), properties and lipid-lowering effect.</w:t>
      </w:r>
    </w:p>
    <w:tbl>
      <w:tblPr>
        <w:tblStyle w:val="Table"/>
        <w:tblW w:type="pct" w:w="0.0"/>
        <w:tblLook w:firstRow="1" w:lastRow="0" w:firstColumn="0" w:lastColumn="0" w:noHBand="0" w:noVBand="0" w:val="0020"/>
        <w:tblCaption w:val="Table 3: Overview of commonly-prescribed statins, summarising their approval date (US), properties and lipid-lowering effect."/>
      </w:tblPr>
      <w:tblGrid/>
      <w:tr>
        <w:tc>
          <w:p>
            <w:pPr>
              <w:pStyle w:val="Compact"/>
              <w:jc w:val="left"/>
            </w:pPr>
            <w:r>
              <w:t xml:space="preserve">Name</w:t>
            </w:r>
          </w:p>
        </w:tc>
        <w:tc>
          <w:p>
            <w:pPr>
              <w:pStyle w:val="Compact"/>
              <w:jc w:val="left"/>
            </w:pPr>
            <w:r>
              <w:t xml:space="preserve">Brand name</w:t>
            </w:r>
          </w:p>
        </w:tc>
        <w:tc>
          <w:p>
            <w:pPr>
              <w:pStyle w:val="Compact"/>
              <w:jc w:val="left"/>
            </w:pPr>
            <w:r>
              <w:t xml:space="preserve">Year approved</w:t>
            </w:r>
          </w:p>
        </w:tc>
        <w:tc>
          <w:p>
            <w:pPr>
              <w:pStyle w:val="Compact"/>
              <w:jc w:val="left"/>
            </w:pPr>
            <w:r>
              <w:t xml:space="preserve">Properties</w:t>
            </w:r>
          </w:p>
        </w:tc>
        <w:tc>
          <w:p>
            <w:pPr>
              <w:pStyle w:val="Compact"/>
              <w:jc w:val="left"/>
            </w:pPr>
            <w:r>
              <w:t xml:space="preserve">Lipid-lowering effect</w:t>
            </w:r>
          </w:p>
        </w:tc>
      </w:tr>
      <w:tr>
        <w:tc>
          <w:p>
            <w:pPr>
              <w:pStyle w:val="Compact"/>
              <w:jc w:val="left"/>
            </w:pPr>
            <w:r>
              <w:t xml:space="preserve">Atorvastatin</w:t>
            </w:r>
          </w:p>
        </w:tc>
        <w:tc>
          <w:p>
            <w:pPr>
              <w:pStyle w:val="Compact"/>
              <w:jc w:val="left"/>
            </w:pPr>
            <w:r>
              <w:t xml:space="preserve">Lipitor</w:t>
            </w:r>
          </w:p>
        </w:tc>
        <w:tc>
          <w:p>
            <w:pPr>
              <w:pStyle w:val="Compact"/>
              <w:jc w:val="left"/>
            </w:pPr>
            <w:r>
              <w:t xml:space="preserve">1996</w:t>
            </w:r>
          </w:p>
        </w:tc>
        <w:tc>
          <w:p>
            <w:pPr>
              <w:pStyle w:val="Compact"/>
              <w:jc w:val="left"/>
            </w:pPr>
            <w:r>
              <w:t xml:space="preserve">Lipophilic</w:t>
            </w:r>
          </w:p>
        </w:tc>
        <w:tc>
          <w:p>
            <w:pPr>
              <w:pStyle w:val="Compact"/>
              <w:jc w:val="left"/>
            </w:pPr>
            <w:r>
              <w:t xml:space="preserve">+++</w:t>
            </w:r>
          </w:p>
        </w:tc>
      </w:tr>
      <w:tr>
        <w:tc>
          <w:p>
            <w:pPr>
              <w:pStyle w:val="Compact"/>
              <w:jc w:val="left"/>
            </w:pPr>
            <w:r>
              <w:t xml:space="preserve">Pravastatin</w:t>
            </w:r>
          </w:p>
        </w:tc>
        <w:tc>
          <w:p>
            <w:pPr>
              <w:pStyle w:val="Compact"/>
              <w:jc w:val="left"/>
            </w:pPr>
            <w:r>
              <w:t xml:space="preserve">Lipostat</w:t>
            </w:r>
          </w:p>
        </w:tc>
        <w:tc>
          <w:p>
            <w:pPr>
              <w:pStyle w:val="Compact"/>
              <w:jc w:val="left"/>
            </w:pPr>
            <w:r>
              <w:t xml:space="preserve">1989</w:t>
            </w:r>
          </w:p>
        </w:tc>
        <w:tc>
          <w:p>
            <w:pPr>
              <w:pStyle w:val="Compact"/>
              <w:jc w:val="left"/>
            </w:pPr>
            <w:r>
              <w:t xml:space="preserve">Hydrophilic</w:t>
            </w:r>
          </w:p>
        </w:tc>
        <w:tc>
          <w:p>
            <w:pPr>
              <w:pStyle w:val="Compact"/>
              <w:jc w:val="left"/>
            </w:pPr>
            <w:r>
              <w:t xml:space="preserve">+</w:t>
            </w:r>
          </w:p>
        </w:tc>
      </w:tr>
      <w:tr>
        <w:tc>
          <w:p>
            <w:pPr>
              <w:pStyle w:val="Compact"/>
              <w:jc w:val="left"/>
            </w:pPr>
            <w:r>
              <w:t xml:space="preserve">Rosuvastatin</w:t>
            </w:r>
          </w:p>
        </w:tc>
        <w:tc>
          <w:p>
            <w:pPr>
              <w:pStyle w:val="Compact"/>
              <w:jc w:val="left"/>
            </w:pPr>
            <w:r>
              <w:t xml:space="preserve">Crestor</w:t>
            </w:r>
          </w:p>
        </w:tc>
        <w:tc>
          <w:p>
            <w:pPr>
              <w:pStyle w:val="Compact"/>
              <w:jc w:val="left"/>
            </w:pPr>
            <w:r>
              <w:t xml:space="preserve">2003</w:t>
            </w:r>
          </w:p>
        </w:tc>
        <w:tc>
          <w:p>
            <w:pPr>
              <w:pStyle w:val="Compact"/>
              <w:jc w:val="left"/>
            </w:pPr>
            <w:r>
              <w:t xml:space="preserve">Hydrophilic</w:t>
            </w:r>
          </w:p>
        </w:tc>
        <w:tc>
          <w:p>
            <w:pPr>
              <w:pStyle w:val="Compact"/>
              <w:jc w:val="left"/>
            </w:pPr>
            <w:r>
              <w:t xml:space="preserve">++++</w:t>
            </w:r>
          </w:p>
        </w:tc>
      </w:tr>
      <w:tr>
        <w:tc>
          <w:p>
            <w:pPr>
              <w:pStyle w:val="Compact"/>
              <w:jc w:val="left"/>
            </w:pPr>
            <w:r>
              <w:t xml:space="preserve">Simvastatin</w:t>
            </w:r>
          </w:p>
        </w:tc>
        <w:tc>
          <w:p>
            <w:pPr>
              <w:pStyle w:val="Compact"/>
              <w:jc w:val="left"/>
            </w:pPr>
            <w:r>
              <w:t xml:space="preserve">Zocor</w:t>
            </w:r>
          </w:p>
        </w:tc>
        <w:tc>
          <w:p>
            <w:pPr>
              <w:pStyle w:val="Compact"/>
              <w:jc w:val="left"/>
            </w:pPr>
            <w:r>
              <w:t xml:space="preserve">1992</w:t>
            </w:r>
          </w:p>
        </w:tc>
        <w:tc>
          <w:p>
            <w:pPr>
              <w:pStyle w:val="Compact"/>
              <w:jc w:val="left"/>
            </w:pPr>
            <w:r>
              <w:t xml:space="preserve">Lipophilic</w:t>
            </w:r>
          </w:p>
        </w:tc>
        <w:tc>
          <w:p>
            <w:pPr>
              <w:pStyle w:val="Compact"/>
              <w:jc w:val="left"/>
            </w:pPr>
            <w:r>
              <w:t xml:space="preserve">++</w:t>
            </w:r>
          </w:p>
        </w:tc>
      </w:tr>
    </w:tbl>
    <w:p>
      <w:pPr>
        <w:pStyle w:val="BodyText"/>
      </w:pPr>
      <w:r>
        <w:t xml:space="preserve"> </w:t>
      </w:r>
    </w:p>
    <w:bookmarkEnd w:id="38"/>
    <w:bookmarkStart w:id="39" w:name="other-lipid-regulating-agents-lra"/>
    <w:p>
      <w:pPr>
        <w:pStyle w:val="Heading3"/>
      </w:pPr>
      <w:r>
        <w:t xml:space="preserve">Other lipid regulating agents (LRA)</w:t>
      </w:r>
    </w:p>
    <w:p>
      <w:pPr>
        <w:pStyle w:val="FirstParagraph"/>
      </w:pPr>
      <w:r>
        <w:t xml:space="preserve">There are several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40</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41</w:t>
        </w:r>
      </w:hyperlink>
    </w:p>
    <w:p>
      <w:pPr>
        <w:pStyle w:val="BodyText"/>
      </w:pPr>
      <w:r>
        <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42</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43</w:t>
        </w:r>
      </w:hyperlink>
      <w:r>
        <w:t xml:space="preserve"> </w:t>
      </w:r>
      <w:r>
        <w:t xml:space="preserve">and omega-3-fatty acids,</w:t>
      </w:r>
      <w:hyperlink w:anchor="ref-skulas-rayannc.2019">
        <w:r>
          <w:rPr>
            <w:rStyle w:val="Hyperlink"/>
            <w:vertAlign w:val="superscript"/>
          </w:rPr>
          <w:t xml:space="preserve">44</w:t>
        </w:r>
      </w:hyperlink>
      <w:r>
        <w:t xml:space="preserve"> </w:t>
      </w:r>
      <w:r>
        <w:t xml:space="preserve">but they far less effective in LDL-c lowering than the therapies described above.</w:t>
      </w:r>
    </w:p>
    <w:p>
      <w:pPr>
        <w:pStyle w:val="BodyText"/>
      </w:pPr>
      <w:r>
        <w:t xml:space="preserve"> </w:t>
      </w:r>
    </w:p>
    <w:p>
      <w:pPr>
        <w:pStyle w:val="TableCaption"/>
      </w:pPr>
      <w:r>
        <w:t xml:space="preserve">Table 4: Summary of available treatments for hyperlipidaemia.</w:t>
      </w:r>
    </w:p>
    <w:tbl>
      <w:tblPr>
        <w:tblStyle w:val="Table"/>
        <w:tblW w:type="pct" w:w="5000.0"/>
        <w:tblLook w:firstRow="1" w:lastRow="0" w:firstColumn="0" w:lastColumn="0" w:noHBand="0" w:noVBand="0" w:val="0020"/>
        <w:tblCaption w:val="Table 4: Summary of available treatments for hyperlipidaemia."/>
      </w:tblPr>
      <w:tblGrid>
        <w:gridCol w:w="1721"/>
        <w:gridCol w:w="1147"/>
        <w:gridCol w:w="3414"/>
        <w:gridCol w:w="1635"/>
      </w:tblGrid>
      <w:tr>
        <w:tc>
          <w:p>
            <w:pPr>
              <w:pStyle w:val="Compact"/>
              <w:jc w:val="left"/>
            </w:pPr>
            <w:r>
              <w:t xml:space="preserve">Treatment</w:t>
            </w:r>
          </w:p>
        </w:tc>
        <w:tc>
          <w:p>
            <w:pPr>
              <w:pStyle w:val="Compact"/>
              <w:jc w:val="left"/>
            </w:pPr>
            <w:r>
              <w:t xml:space="preserve">Effect</w:t>
            </w:r>
          </w:p>
        </w:tc>
        <w:tc>
          <w:p>
            <w:pPr>
              <w:pStyle w:val="Compact"/>
              <w:jc w:val="left"/>
            </w:pPr>
            <w:r>
              <w:t xml:space="preserve">Mechanism of action</w:t>
            </w:r>
          </w:p>
        </w:tc>
        <w:tc>
          <w:p>
            <w:pPr>
              <w:pStyle w:val="Compact"/>
              <w:jc w:val="left"/>
            </w:pPr>
            <w:r>
              <w:t xml:space="preserve">Examples</w:t>
            </w:r>
          </w:p>
        </w:tc>
      </w:tr>
      <w:tr>
        <w:tc>
          <w:p>
            <w:pPr>
              <w:pStyle w:val="Compact"/>
              <w:jc w:val="left"/>
            </w:pPr>
            <w:r>
              <w:t xml:space="preserve">HMG CoA reductase inhibitors (statins)</w:t>
            </w:r>
          </w:p>
        </w:tc>
        <w:tc>
          <w:p>
            <w:pPr>
              <w:pStyle w:val="Compact"/>
              <w:jc w:val="left"/>
            </w:pPr>
            <w:r>
              <w:t xml:space="preserve">Lowers LDL-c &amp; TG</w:t>
            </w:r>
            <w:r>
              <w:t xml:space="preserve"> </w:t>
            </w:r>
            <w:r>
              <w:t xml:space="preserve">Raises HDL-c</w:t>
            </w:r>
          </w:p>
        </w:tc>
        <w:tc>
          <w:p>
            <w:pPr>
              <w:pStyle w:val="Compact"/>
              <w:jc w:val="left"/>
            </w:pPr>
            <w:r>
              <w:t xml:space="preserve">Inhibits cholesterol biosynthesis pathway in the liver</w:t>
            </w:r>
          </w:p>
        </w:tc>
        <w:tc>
          <w:p>
            <w:pPr>
              <w:pStyle w:val="Compact"/>
              <w:jc w:val="left"/>
            </w:pPr>
            <w:r>
              <w:t xml:space="preserve">Atorvastatin,</w:t>
            </w:r>
            <w:r>
              <w:t xml:space="preserve"> </w:t>
            </w:r>
            <w:r>
              <w:t xml:space="preserve">Simvastatin,</w:t>
            </w:r>
            <w:r>
              <w:t xml:space="preserve"> </w:t>
            </w:r>
            <w:r>
              <w:t xml:space="preserve">Pravastatin</w:t>
            </w:r>
          </w:p>
        </w:tc>
      </w:tr>
      <w:tr>
        <w:tc>
          <w:p>
            <w:pPr>
              <w:pStyle w:val="Compact"/>
              <w:jc w:val="left"/>
            </w:pPr>
            <w:r>
              <w:t xml:space="preserve">Ezetimibe</w:t>
            </w:r>
          </w:p>
        </w:tc>
        <w:tc>
          <w:p>
            <w:pPr>
              <w:pStyle w:val="Compact"/>
              <w:jc w:val="left"/>
            </w:pPr>
            <w:r>
              <w:t xml:space="preserve">Lowers LDL-c</w:t>
            </w:r>
          </w:p>
        </w:tc>
        <w:tc>
          <w:p>
            <w:pPr>
              <w:pStyle w:val="Compact"/>
              <w:jc w:val="left"/>
            </w:pPr>
            <w:r>
              <w:t xml:space="preserve">Prevents absorption of cholesterol from diet</w:t>
            </w:r>
          </w:p>
        </w:tc>
        <w:tc>
          <w:p/>
        </w:tc>
      </w:tr>
      <w:tr>
        <w:tc>
          <w:p>
            <w:pPr>
              <w:pStyle w:val="Compact"/>
              <w:jc w:val="left"/>
            </w:pPr>
            <w:r>
              <w:t xml:space="preserve">Bile acide sequestrants</w:t>
            </w:r>
          </w:p>
        </w:tc>
        <w:tc>
          <w:p>
            <w:pPr>
              <w:pStyle w:val="Compact"/>
              <w:jc w:val="left"/>
            </w:pPr>
            <w:r>
              <w:t xml:space="preserve">Lowers LDL-c</w:t>
            </w:r>
          </w:p>
        </w:tc>
        <w:tc>
          <w:p>
            <w:pPr>
              <w:pStyle w:val="Compact"/>
              <w:jc w:val="left"/>
            </w:pPr>
            <w:r>
              <w:t xml:space="preserve">Prevent bile acid reabsorption in the gastro-intestinal tract, increasing conversion of cholesterol to bile acids</w:t>
            </w:r>
          </w:p>
        </w:tc>
        <w:tc>
          <w:p>
            <w:pPr>
              <w:pStyle w:val="Compact"/>
              <w:jc w:val="left"/>
            </w:pPr>
            <w:r>
              <w:t xml:space="preserve">Colestipol</w:t>
            </w:r>
          </w:p>
        </w:tc>
      </w:tr>
      <w:tr>
        <w:tc>
          <w:p>
            <w:pPr>
              <w:pStyle w:val="Compact"/>
              <w:jc w:val="left"/>
            </w:pPr>
            <w:r>
              <w:t xml:space="preserve">Proprotein convertase subtilisin kexin 9 (PCSK9) inhibitors</w:t>
            </w:r>
          </w:p>
        </w:tc>
        <w:tc>
          <w:p>
            <w:pPr>
              <w:pStyle w:val="Compact"/>
              <w:jc w:val="left"/>
            </w:pPr>
            <w:r>
              <w:t xml:space="preserve">Lowers LDL-c</w:t>
            </w:r>
          </w:p>
        </w:tc>
        <w:tc>
          <w:p>
            <w:pPr>
              <w:pStyle w:val="Compact"/>
              <w:jc w:val="left"/>
            </w:pPr>
            <w:r>
              <w:t xml:space="preserve">Bind to PSCK9 protein, preventing it from breaking down LDL receptors on heptatic cells, increasing cholesterol uptake</w:t>
            </w:r>
          </w:p>
        </w:tc>
        <w:tc>
          <w:p>
            <w:pPr>
              <w:pStyle w:val="Compact"/>
              <w:jc w:val="left"/>
            </w:pPr>
            <w:r>
              <w:t xml:space="preserve">Evolocumab,</w:t>
            </w:r>
            <w:r>
              <w:t xml:space="preserve"> </w:t>
            </w:r>
            <w:r>
              <w:t xml:space="preserve">Alirocumab</w:t>
            </w:r>
          </w:p>
        </w:tc>
      </w:tr>
    </w:tbl>
    <w:p>
      <w:pPr>
        <w:pStyle w:val="BodyText"/>
      </w:pPr>
      <w:r>
        <w:t xml:space="preserve"> </w:t>
      </w:r>
    </w:p>
    <w:bookmarkEnd w:id="39"/>
    <w:bookmarkEnd w:id="40"/>
    <w:bookmarkStart w:id="45"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41" w:name="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45</w:t>
        </w:r>
      </w:hyperlink>
      <w:r>
        <w:rPr>
          <w:vertAlign w:val="superscript"/>
        </w:rPr>
        <w:t xml:space="preserve">,</w:t>
      </w:r>
      <w:hyperlink w:anchor="ref-mizuno1999">
        <w:r>
          <w:rPr>
            <w:rStyle w:val="Hyperlink"/>
            <w:vertAlign w:val="superscript"/>
          </w:rPr>
          <w:t xml:space="preserve">46</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47</w:t>
        </w:r>
      </w:hyperlink>
      <w:r>
        <w:rPr>
          <w:vertAlign w:val="superscript"/>
        </w:rPr>
        <w:t xml:space="preserve">–</w:t>
      </w:r>
      <w:hyperlink w:anchor="ref-meng2007">
        <w:r>
          <w:rPr>
            <w:rStyle w:val="Hyperlink"/>
            <w:vertAlign w:val="superscript"/>
          </w:rPr>
          <w:t xml:space="preserve">49</w:t>
        </w:r>
      </w:hyperlink>
    </w:p>
    <w:p>
      <w:pPr>
        <w:pStyle w:val="BodyText"/>
      </w:pPr>
      <w:r>
        <w:t xml:space="preserve">Despite these results, evidence from the diverse range of epidemiological studies on this topic has been inconclusive.</w:t>
      </w:r>
    </w:p>
    <w:bookmarkEnd w:id="41"/>
    <w:bookmarkStart w:id="42"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50</w:t>
        </w:r>
      </w:hyperlink>
      <w:r>
        <w:rPr>
          <w:vertAlign w:val="superscript"/>
        </w:rPr>
        <w:t xml:space="preserve">–</w:t>
      </w:r>
      <w:hyperlink w:anchor="ref-whitmer2005">
        <w:r>
          <w:rPr>
            <w:rStyle w:val="Hyperlink"/>
            <w:vertAlign w:val="superscript"/>
          </w:rPr>
          <w:t xml:space="preserve">54</w:t>
        </w:r>
      </w:hyperlink>
      <w:r>
        <w:t xml:space="preserve"> </w:t>
      </w:r>
      <w:r>
        <w:t xml:space="preserve">however others have shown no association,</w:t>
      </w:r>
      <w:hyperlink w:anchor="ref-li2005a">
        <w:r>
          <w:rPr>
            <w:rStyle w:val="Hyperlink"/>
            <w:vertAlign w:val="superscript"/>
          </w:rPr>
          <w:t xml:space="preserve">55</w:t>
        </w:r>
      </w:hyperlink>
      <w:r>
        <w:rPr>
          <w:vertAlign w:val="superscript"/>
        </w:rPr>
        <w:t xml:space="preserve">–</w:t>
      </w:r>
      <w:hyperlink w:anchor="ref-tan2003a">
        <w:r>
          <w:rPr>
            <w:rStyle w:val="Hyperlink"/>
            <w:vertAlign w:val="superscript"/>
          </w:rPr>
          <w:t xml:space="preserve">58</w:t>
        </w:r>
      </w:hyperlink>
      <w:r>
        <w:t xml:space="preserve"> </w:t>
      </w:r>
      <w:r>
        <w:t xml:space="preserve">or a reduced susceptibility.</w:t>
      </w:r>
      <w:hyperlink w:anchor="ref-mielke2005">
        <w:r>
          <w:rPr>
            <w:rStyle w:val="Hyperlink"/>
            <w:vertAlign w:val="superscript"/>
          </w:rPr>
          <w:t xml:space="preserve">59</w:t>
        </w:r>
      </w:hyperlink>
      <w:r>
        <w:rPr>
          <w:vertAlign w:val="superscript"/>
        </w:rPr>
        <w:t xml:space="preserve">,</w:t>
      </w:r>
      <w:hyperlink w:anchor="ref-reitz2004a">
        <w:r>
          <w:rPr>
            <w:rStyle w:val="Hyperlink"/>
            <w:vertAlign w:val="superscript"/>
          </w:rPr>
          <w:t xml:space="preserve">60</w:t>
        </w:r>
      </w:hyperlink>
      <w:r>
        <w:t xml:space="preserve"> With regards vascular dementia, decreased levels of HDL-c appear to be associated with increased risk,</w:t>
      </w:r>
      <w:hyperlink w:anchor="ref-reitz2004a">
        <w:r>
          <w:rPr>
            <w:rStyle w:val="Hyperlink"/>
            <w:vertAlign w:val="superscript"/>
          </w:rPr>
          <w:t xml:space="preserve">60</w:t>
        </w:r>
      </w:hyperlink>
      <w:r>
        <w:t xml:space="preserve"> while for LDL-c, studies have reported both positive and negative associations.</w:t>
      </w:r>
      <w:hyperlink w:anchor="ref-reitz2004a">
        <w:r>
          <w:rPr>
            <w:rStyle w:val="Hyperlink"/>
            <w:vertAlign w:val="superscript"/>
          </w:rPr>
          <w:t xml:space="preserve">60</w:t>
        </w:r>
      </w:hyperlink>
      <w:r>
        <w:rPr>
          <w:vertAlign w:val="superscript"/>
        </w:rPr>
        <w:t xml:space="preserve">,</w:t>
      </w:r>
      <w:hyperlink w:anchor="ref-moroney1999">
        <w:r>
          <w:rPr>
            <w:rStyle w:val="Hyperlink"/>
            <w:vertAlign w:val="superscript"/>
          </w:rPr>
          <w:t xml:space="preserve">61</w:t>
        </w:r>
      </w:hyperlink>
    </w:p>
    <w:p>
      <w:pPr>
        <w:pStyle w:val="BodyText"/>
      </w:pPr>
      <w:r>
        <w:t xml:space="preserve">Several previous systematic review of observational studies examining the effect of lipids</w:t>
      </w:r>
      <w:hyperlink w:anchor="ref-anstey">
        <w:r>
          <w:rPr>
            <w:rStyle w:val="Hyperlink"/>
            <w:vertAlign w:val="superscript"/>
          </w:rPr>
          <w:t xml:space="preserve">62</w:t>
        </w:r>
      </w:hyperlink>
      <w:r>
        <w:t xml:space="preserve"> </w:t>
      </w:r>
      <w:r>
        <w:t xml:space="preserve">and lipid-regulating agents</w:t>
      </w:r>
      <w:hyperlink w:anchor="ref-chu2018b">
        <w:r>
          <w:rPr>
            <w:rStyle w:val="Hyperlink"/>
            <w:vertAlign w:val="superscript"/>
          </w:rPr>
          <w:t xml:space="preserve">63</w:t>
        </w:r>
      </w:hyperlink>
      <w:r>
        <w:rPr>
          <w:vertAlign w:val="superscript"/>
        </w:rPr>
        <w:t xml:space="preserve">,</w:t>
      </w:r>
      <w:hyperlink w:anchor="ref-poly2020c">
        <w:r>
          <w:rPr>
            <w:rStyle w:val="Hyperlink"/>
            <w:vertAlign w:val="superscript"/>
          </w:rPr>
          <w:t xml:space="preserve">64</w:t>
        </w:r>
      </w:hyperlink>
      <w:r>
        <w:t xml:space="preserve"> </w:t>
      </w:r>
      <w:r>
        <w:t xml:space="preserve">on dementia outcomes have been performed. However, these reviews have several limitations. Many did not consider grey literature sources (see Section</w:t>
      </w:r>
      <w:r>
        <w:t xml:space="preserve"> </w:t>
      </w:r>
      <w:r>
        <w:t xml:space="preserve">2.6.1</w:t>
      </w:r>
      <w:r>
        <w:t xml:space="preserve">). Additionally, many of the reviews of observational studies did not perform any risk-of-bias assessment</w:t>
      </w:r>
      <w:hyperlink w:anchor="ref-chu2018b">
        <w:r>
          <w:rPr>
            <w:rStyle w:val="Hyperlink"/>
            <w:vertAlign w:val="superscript"/>
          </w:rPr>
          <w:t xml:space="preserve">63</w:t>
        </w:r>
      </w:hyperlink>
      <w:r>
        <w:t xml:space="preserve"> </w:t>
      </w:r>
      <w:r>
        <w:t xml:space="preserve">or used an outdated assessment tool.</w:t>
      </w:r>
      <w:hyperlink w:anchor="ref-anstey">
        <w:r>
          <w:rPr>
            <w:rStyle w:val="Hyperlink"/>
            <w:vertAlign w:val="superscript"/>
          </w:rPr>
          <w:t xml:space="preserve">62</w:t>
        </w:r>
      </w:hyperlink>
      <w:r>
        <w:rPr>
          <w:vertAlign w:val="superscript"/>
        </w:rPr>
        <w:t xml:space="preserve">,</w:t>
      </w:r>
      <w:hyperlink w:anchor="ref-poly2020c">
        <w:r>
          <w:rPr>
            <w:rStyle w:val="Hyperlink"/>
            <w:vertAlign w:val="superscript"/>
          </w:rPr>
          <w:t xml:space="preserve">64</w:t>
        </w:r>
      </w:hyperlink>
    </w:p>
    <w:bookmarkEnd w:id="42"/>
    <w:bookmarkStart w:id="43"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2.3.1</w:t>
      </w:r>
      <w:r>
        <w:t xml:space="preserve">), as they would require extremely long and costly follow-up.</w:t>
      </w:r>
      <w:hyperlink w:anchor="ref-ritchie2015">
        <w:r>
          <w:rPr>
            <w:rStyle w:val="Hyperlink"/>
            <w:vertAlign w:val="superscript"/>
          </w:rPr>
          <w:t xml:space="preserve">65</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vertAlign w:val="superscript"/>
          </w:rPr>
          <w:t xml:space="preserve">66</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67</w:t>
        </w:r>
      </w:hyperlink>
      <w:r>
        <w:t xml:space="preserve"> </w:t>
      </w:r>
      <w:r>
        <w:t xml:space="preserve">reported not on dementia outcomes but on the change in cognitive scores over a mean of 3.2 years. As highlighted in Section</w:t>
      </w:r>
      <w:r>
        <w:t xml:space="preserve"> </w:t>
      </w:r>
      <w:r>
        <w:t xml:space="preserve">2.3.2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vertAlign w:val="superscript"/>
          </w:rPr>
          <w:t xml:space="preserve">68</w:t>
        </w:r>
      </w:hyperlink>
      <w:r>
        <w:t xml:space="preserve"> </w:t>
      </w:r>
      <w:r>
        <w:t xml:space="preserve">found no effect of simvastatin on dementia (OR: 1.00, 95% 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2.3.1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67</w:t>
        </w:r>
      </w:hyperlink>
      <w:r>
        <w:rPr>
          <w:vertAlign w:val="superscript"/>
        </w:rPr>
        <w:t xml:space="preserve">,</w:t>
      </w:r>
      <w:hyperlink w:anchor="ref-2002">
        <w:r>
          <w:rPr>
            <w:rStyle w:val="Hyperlink"/>
            <w:vertAlign w:val="superscript"/>
          </w:rPr>
          <w:t xml:space="preserve">68</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vertAlign w:val="superscript"/>
          </w:rPr>
          <w:t xml:space="preserve">69</w:t>
        </w:r>
      </w:hyperlink>
    </w:p>
    <w:bookmarkEnd w:id="43"/>
    <w:bookmarkStart w:id="44"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70</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71</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70</w:t>
        </w:r>
      </w:hyperlink>
      <w:r>
        <w:t xml:space="preserve"> </w:t>
      </w:r>
      <w:r>
        <w:t xml:space="preserve">The analytic method relies on several assumptions about the instrumental variable (IV),</w:t>
      </w:r>
      <w:hyperlink w:anchor="ref-davies2018">
        <w:r>
          <w:rPr>
            <w:rStyle w:val="Hyperlink"/>
            <w:vertAlign w:val="superscript"/>
          </w:rPr>
          <w:t xml:space="preserve">72</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73</w:t>
        </w:r>
      </w:hyperlink>
      <w:r>
        <w:rPr>
          <w:vertAlign w:val="superscript"/>
        </w:rPr>
        <w:t xml:space="preserve">,</w:t>
      </w:r>
      <w:hyperlink w:anchor="ref-ostergaard2015">
        <w:r>
          <w:rPr>
            <w:rStyle w:val="Hyperlink"/>
            <w:vertAlign w:val="superscript"/>
          </w:rPr>
          <w:t xml:space="preserve">74</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75</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76</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bookmarkEnd w:id="44"/>
    <w:bookmarkEnd w:id="45"/>
    <w:bookmarkStart w:id="49"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77</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78</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concepts within the umbrella term of evidence synthesis:</w:t>
      </w:r>
    </w:p>
    <w:p>
      <w:pPr>
        <w:numPr>
          <w:ilvl w:val="0"/>
          <w:numId w:val="1003"/>
        </w:numPr>
        <w:pStyle w:val="Compact"/>
      </w:pPr>
      <w:r>
        <w:t xml:space="preserve">Inclusion of preprints</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6" w:name="diverse-sources-preprints"/>
    <w:p>
      <w:pPr>
        <w:pStyle w:val="Heading3"/>
      </w:pPr>
      <w:r>
        <w:t xml:space="preserve">Inclusion of preprints</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79</w:t>
        </w:r>
      </w:hyperlink>
      <w:r>
        <w:rPr>
          <w:vertAlign w:val="superscript"/>
        </w:rPr>
        <w:t xml:space="preserve">–</w:t>
      </w:r>
      <w:hyperlink w:anchor="ref-hopewell2007">
        <w:r>
          <w:rPr>
            <w:rStyle w:val="Hyperlink"/>
            <w:vertAlign w:val="superscript"/>
          </w:rPr>
          <w:t xml:space="preserve">81</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82</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83</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84</w:t>
        </w:r>
      </w:hyperlink>
      <w:r>
        <w:t xml:space="preserve"> </w:t>
      </w:r>
      <w:r>
        <w:t xml:space="preserve">to rapidly disseminate research findings, as occurred during the COVID-19 pandemic,</w:t>
      </w:r>
      <w:hyperlink w:anchor="ref-fraser2020a">
        <w:r>
          <w:rPr>
            <w:rStyle w:val="Hyperlink"/>
            <w:vertAlign w:val="superscript"/>
          </w:rPr>
          <w:t xml:space="preserve">85</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86</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87</w:t>
        </w:r>
      </w:hyperlink>
      <w:r>
        <w:rPr>
          <w:vertAlign w:val="superscript"/>
        </w:rPr>
        <w:t xml:space="preserve">,</w:t>
      </w:r>
      <w:hyperlink w:anchor="ref-schalkwyk2020">
        <w:r>
          <w:rPr>
            <w:rStyle w:val="Hyperlink"/>
            <w:vertAlign w:val="superscript"/>
          </w:rPr>
          <w:t xml:space="preserve">88</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82</w:t>
        </w:r>
      </w:hyperlink>
      <w:r>
        <w:rPr>
          <w:vertAlign w:val="superscript"/>
        </w:rPr>
        <w:t xml:space="preserve">,</w:t>
      </w:r>
      <w:hyperlink w:anchor="ref-mahood2014">
        <w:r>
          <w:rPr>
            <w:rStyle w:val="Hyperlink"/>
            <w:vertAlign w:val="superscript"/>
          </w:rPr>
          <w:t xml:space="preserve">89</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shi2021a">
        <w:r>
          <w:rPr>
            <w:rStyle w:val="Hyperlink"/>
            <w:vertAlign w:val="superscript"/>
          </w:rPr>
          <w:t xml:space="preserve">90</w:t>
        </w:r>
      </w:hyperlink>
      <w:r>
        <w:rPr>
          <w:vertAlign w:val="superscript"/>
        </w:rPr>
        <w:t xml:space="preserve">–</w:t>
      </w:r>
      <w:hyperlink w:anchor="ref-nicholson2021">
        <w:r>
          <w:rPr>
            <w:rStyle w:val="Hyperlink"/>
            <w:vertAlign w:val="superscript"/>
          </w:rPr>
          <w:t xml:space="preserve">92</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89</w:t>
        </w:r>
      </w:hyperlink>
      <w:r>
        <w:t xml:space="preserve"> </w:t>
      </w:r>
      <w:r>
        <w:t xml:space="preserve">there are several logistical issues with carrying out systematic searches in preprint repositories. As such, to enable the inclusion of preprints in the systematic review described in Chapter</w:t>
      </w:r>
      <w:r>
        <w:t xml:space="preserve"> </w:t>
      </w:r>
      <w:r>
        <w:t xml:space="preserve">4</w:t>
      </w:r>
      <w:r>
        <w:t xml:space="preserve">, a new tool addressing these issues is presented in Chapter</w:t>
      </w:r>
      <w:r>
        <w:t xml:space="preserve"> </w:t>
      </w:r>
      <w:r>
        <w:t xml:space="preserve">??</w:t>
      </w:r>
      <w:r>
        <w:t xml:space="preserve">.</w:t>
      </w:r>
    </w:p>
    <w:bookmarkEnd w:id="46"/>
    <w:bookmarkStart w:id="47" w:name="intro-triangulation"/>
    <w:p>
      <w:pPr>
        <w:pStyle w:val="Heading3"/>
      </w:pPr>
      <w:r>
        <w:t xml:space="preserve">Triangulating across study designs</w:t>
      </w:r>
    </w:p>
    <w:p>
      <w:pPr>
        <w:pStyle w:val="FirstParagraph"/>
      </w:pPr>
      <w:r>
        <w:t xml:space="preserve">As illustrated in Section</w:t>
      </w:r>
      <w:r>
        <w:t xml:space="preserve"> </w:t>
      </w:r>
      <w:r>
        <w:t xml:space="preserve">2.5</w:t>
      </w:r>
      <w:r>
        <w:t xml:space="preserve">, several diverse epidemiological methods have been used to examine the effect of varying blood lipid levels on dementia risk. However, each method is limited by its own biases. Aetiological triangulation is a developing evidence synthesis method that seeks to exploit these inherent differences in study design, and as a result, in biases.</w:t>
      </w:r>
      <w:hyperlink w:anchor="ref-lawlor2016a">
        <w:r>
          <w:rPr>
            <w:rStyle w:val="Hyperlink"/>
            <w:vertAlign w:val="superscript"/>
          </w:rPr>
          <w:t xml:space="preserve">93</w:t>
        </w:r>
      </w:hyperlink>
      <w:r>
        <w:t xml:space="preserve"> </w:t>
      </w:r>
      <w:r>
        <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strengthen the effect of the exposure and the other to attenuate it.</w:t>
      </w:r>
      <w:hyperlink w:anchor="ref-lawlor2016a">
        <w:r>
          <w:rPr>
            <w:rStyle w:val="Hyperlink"/>
            <w:vertAlign w:val="superscript"/>
          </w:rPr>
          <w:t xml:space="preserve">93</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hyperlink w:anchor="ref-munafo2018">
        <w:r>
          <w:rPr>
            <w:rStyle w:val="Hyperlink"/>
            <w:vertAlign w:val="superscript"/>
          </w:rPr>
          <w:t xml:space="preserve">94</w:t>
        </w:r>
      </w:hyperlink>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 Chapter</w:t>
      </w:r>
      <w:r>
        <w:t xml:space="preserve"> </w:t>
      </w:r>
      <w:r>
        <w:t xml:space="preserve">4</w:t>
      </w:r>
      <w:r>
        <w:t xml:space="preserve">. Risk-of-bias assessment using a domain-based tool is already a recommended part of the systematic review process, but is particularly important to a triangulation exercise.</w:t>
      </w:r>
      <w:hyperlink w:anchor="ref-Pagen71">
        <w:r>
          <w:rPr>
            <w:rStyle w:val="Hyperlink"/>
            <w:vertAlign w:val="superscript"/>
          </w:rPr>
          <w:t xml:space="preserve">95</w:t>
        </w:r>
      </w:hyperlink>
      <w:r>
        <w:rPr>
          <w:vertAlign w:val="superscript"/>
        </w:rPr>
        <w:t xml:space="preserve">–</w:t>
      </w:r>
      <w:hyperlink w:anchor="ref-mcguinness2018">
        <w:r>
          <w:rPr>
            <w:rStyle w:val="Hyperlink"/>
            <w:vertAlign w:val="superscript"/>
          </w:rPr>
          <w:t xml:space="preserve">97</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7"/>
    <w:bookmarkStart w:id="48"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98</w:t>
        </w:r>
      </w:hyperlink>
      <w:r>
        <w:rPr>
          <w:vertAlign w:val="superscript"/>
        </w:rPr>
        <w:t xml:space="preserve">,</w:t>
      </w:r>
      <w:hyperlink w:anchor="ref-stewart1993">
        <w:r>
          <w:rPr>
            <w:rStyle w:val="Hyperlink"/>
            <w:vertAlign w:val="superscript"/>
          </w:rPr>
          <w:t xml:space="preserve">99</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98</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100</w:t>
        </w:r>
      </w:hyperlink>
      <w:r>
        <w:rPr>
          <w:vertAlign w:val="superscript"/>
        </w:rPr>
        <w:t xml:space="preserve">–</w:t>
      </w:r>
      <w:hyperlink w:anchor="ref-mccartney2016">
        <w:r>
          <w:rPr>
            <w:rStyle w:val="Hyperlink"/>
            <w:vertAlign w:val="superscript"/>
          </w:rPr>
          <w:t xml:space="preserve">102</w:t>
        </w:r>
      </w:hyperlink>
      <w:r>
        <w:t xml:space="preserve"> </w:t>
      </w:r>
      <w:r>
        <w:t xml:space="preserve">However, if primary studies do not present results stratified by covariates of interest, meta-analyses of summary-level data on this topic often have limited ability to examine research questions related to exposure-covariate interactions.</w:t>
      </w:r>
      <w:hyperlink w:anchor="ref-riley2010">
        <w:r>
          <w:rPr>
            <w:rStyle w:val="Hyperlink"/>
            <w:vertAlign w:val="superscript"/>
          </w:rPr>
          <w:t xml:space="preserve">98</w:t>
        </w:r>
      </w:hyperlink>
      <w:r>
        <w:t xml:space="preserve"> </w:t>
      </w:r>
      <w:r>
        <w:t xml:space="preserve">In terms of this thesis, patient sex is considered to be of particular interest.</w:t>
      </w:r>
      <w:hyperlink w:anchor="ref-arain2009">
        <w:r>
          <w:rPr>
            <w:rStyle w:val="Hyperlink"/>
            <w:vertAlign w:val="superscript"/>
          </w:rPr>
          <w:t xml:space="preserve">100</w:t>
        </w:r>
      </w:hyperlink>
      <w:r>
        <w:rPr>
          <w:vertAlign w:val="superscript"/>
        </w:rPr>
        <w:t xml:space="preserve">,</w:t>
      </w:r>
      <w:hyperlink w:anchor="ref-letenneur1999">
        <w:r>
          <w:rPr>
            <w:rStyle w:val="Hyperlink"/>
            <w:vertAlign w:val="superscript"/>
          </w:rPr>
          <w:t xml:space="preserve">103</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104</w:t>
        </w:r>
      </w:hyperlink>
      <w:r>
        <w:t xml:space="preserve"> </w:t>
      </w:r>
      <w:r>
        <w:t xml:space="preserve">This approach has the added benefit of allowing a common set of inclusion criteria and statistical model to be applied across all datasets, potentially eliminating some important sources of heterogeneity.</w:t>
      </w:r>
      <w:hyperlink w:anchor="ref-stewart2002">
        <w:r>
          <w:rPr>
            <w:rStyle w:val="Hyperlink"/>
            <w:vertAlign w:val="superscript"/>
          </w:rPr>
          <w:t xml:space="preserve">105</w:t>
        </w:r>
      </w:hyperlink>
    </w:p>
    <w:p>
      <w:pPr>
        <w:pStyle w:val="BodyText"/>
      </w:pPr>
      <w:r>
        <w:t xml:space="preserve">Despite their advantages, IPD meta-analysis are rarely performed.</w:t>
      </w:r>
      <w:hyperlink w:anchor="ref-tugwell2010">
        <w:r>
          <w:rPr>
            <w:rStyle w:val="Hyperlink"/>
            <w:vertAlign w:val="superscript"/>
          </w:rPr>
          <w:t xml:space="preserve">106</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107</w:t>
        </w:r>
      </w:hyperlink>
      <w:r>
        <w:rPr>
          <w:vertAlign w:val="superscript"/>
        </w:rPr>
        <w:t xml:space="preserve">,</w:t>
      </w:r>
      <w:hyperlink w:anchor="ref-ventresca2020">
        <w:r>
          <w:rPr>
            <w:rStyle w:val="Hyperlink"/>
            <w:vertAlign w:val="superscript"/>
          </w:rPr>
          <w:t xml:space="preserve">108</w:t>
        </w:r>
      </w:hyperlink>
      <w:r>
        <w:t xml:space="preserve"> </w:t>
      </w:r>
      <w:r>
        <w:t xml:space="preserve">The data underlying primary studies are frequently not publicly available,</w:t>
      </w:r>
      <w:hyperlink w:anchor="ref-alsheikh-ali2011">
        <w:r>
          <w:rPr>
            <w:rStyle w:val="Hyperlink"/>
            <w:vertAlign w:val="superscript"/>
          </w:rPr>
          <w:t xml:space="preserve">109</w:t>
        </w:r>
      </w:hyperlink>
      <w:r>
        <w:rPr>
          <w:vertAlign w:val="superscript"/>
        </w:rPr>
        <w:t xml:space="preserve">,</w:t>
      </w:r>
      <w:hyperlink w:anchor="ref-federer2018a">
        <w:r>
          <w:rPr>
            <w:rStyle w:val="Hyperlink"/>
            <w:vertAlign w:val="superscript"/>
          </w:rPr>
          <w:t xml:space="preserve">110</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111</w:t>
        </w:r>
      </w:hyperlink>
      <w:r>
        <w:t xml:space="preserve"> </w:t>
      </w:r>
      <w:r>
        <w:t xml:space="preserve">Several systematic barriers to open data sharing have been identified</w:t>
      </w:r>
      <w:hyperlink w:anchor="ref-vanpanhuis2014a">
        <w:r>
          <w:rPr>
            <w:rStyle w:val="Hyperlink"/>
            <w:vertAlign w:val="superscript"/>
          </w:rPr>
          <w:t xml:space="preserve">112</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113</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114</w:t>
        </w:r>
      </w:hyperlink>
      <w:r>
        <w:t xml:space="preserve"> </w:t>
      </w:r>
      <w:r>
        <w:t xml:space="preserve">which aims to provide access to several dementia-related datasets via a single simplified application process.</w:t>
      </w:r>
    </w:p>
    <w:p>
      <w:pPr>
        <w:pStyle w:val="BodyText"/>
      </w:pPr>
      <w:r>
        <w:t xml:space="preserve">I will will attempt to obtain the raw data from relevant primary studies identified by the systematic review in Chapter</w:t>
      </w:r>
      <w:r>
        <w:t xml:space="preserve"> </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r>
        <w:t xml:space="preserve"> </w:t>
      </w:r>
    </w:p>
    <w:bookmarkEnd w:id="48"/>
    <w:bookmarkEnd w:id="49"/>
    <w:bookmarkStart w:id="52" w:name="thesis-overview"/>
    <w:p>
      <w:pPr>
        <w:pStyle w:val="Heading2"/>
      </w:pPr>
      <w:r>
        <w:t xml:space="preserve">Thesis overview</w:t>
      </w:r>
    </w:p>
    <w:bookmarkStart w:id="50" w:name="aims-and-objectives"/>
    <w:p>
      <w:pPr>
        <w:pStyle w:val="Heading3"/>
      </w:pPr>
      <w:r>
        <w:t xml:space="preserve">Aims and objectives</w:t>
      </w:r>
    </w:p>
    <w:p>
      <w:pPr>
        <w:pStyle w:val="FirstParagraph"/>
      </w:pPr>
      <w:r>
        <w:t xml:space="preserve">The over-arching aim of this thesis is to explore the relationship between blood lipid levels, and by extension treatments that modify blood lipid levels such as statins, and the subsequent risk of dementia and related outcomes</w:t>
      </w:r>
    </w:p>
    <w:p>
      <w:pPr>
        <w:pStyle w:val="BodyText"/>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bookmarkEnd w:id="50"/>
    <w:bookmarkStart w:id="51"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7.8</w:t>
      </w:r>
      <w:r>
        <w:t xml:space="preserve"> </w:t>
      </w:r>
      <w:r>
        <w:t xml:space="preserve">for a discussion of the group’s involvement and Appendix</w:t>
      </w:r>
      <w:r>
        <w:t xml:space="preserve"> </w:t>
      </w:r>
      <w:r>
        <w:t xml:space="preserve">9.1.2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3</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w:t>
      </w:r>
      <w:r>
        <w:rPr>
          <w:bCs/>
          <w:b/>
        </w:rPr>
        <w:t xml:space="preserve"> </w:t>
      </w:r>
      <w:r>
        <w:rPr>
          <w:bCs/>
          <w:b/>
        </w:rPr>
        <w:t xml:space="preserve">4</w:t>
      </w:r>
      <w:r>
        <w:rPr>
          <w:bCs/>
          <w:b/>
        </w:rPr>
        <w:t xml:space="preserve">:</w:t>
      </w:r>
      <w:r>
        <w:t xml:space="preserve"> </w:t>
      </w:r>
      <w:r>
        <w:t xml:space="preserve">This Chapter describes a comprehensive systematic review and meta-analysis of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7</w:t>
      </w:r>
      <w:r>
        <w:t xml:space="preserve">: This Chapter integrates the diverse evidence identified by, and produced as part of, this thesis. The overall strengths and weaknesses of this project are discussed in detail, and further avenues of research are suggested.</w:t>
      </w:r>
    </w:p>
    <w:p>
      <w:pPr>
        <w:pStyle w:val="FirstParagraph"/>
      </w:pPr>
      <w:r>
        <w:t xml:space="preserve">An overview of how all research studies in this thesis can be found in Table</w:t>
      </w:r>
      <w:r>
        <w:t xml:space="preserve"> </w:t>
      </w:r>
      <w:r>
        <w:t xml:space="preserve">5</w:t>
      </w:r>
    </w:p>
    <w:p>
      <w:pPr>
        <w:pStyle w:val="TableCaption"/>
      </w:pPr>
      <w:r>
        <w:t xml:space="preserve">Table 5: Summary of studies included in this thesis, and used as evidence sources in the triangulation exercise performed in Chapter</w:t>
      </w:r>
      <w:r>
        <w:t xml:space="preserve"> </w:t>
      </w:r>
      <w:r>
        <w:t xml:space="preserve">7</w:t>
      </w:r>
      <w:r>
        <w:t xml:space="preserve">. Note, Chapter</w:t>
      </w:r>
      <w:r>
        <w:t xml:space="preserve"> </w:t>
      </w:r>
      <w:r>
        <w:t xml:space="preserve">3</w:t>
      </w:r>
      <w:r>
        <w:t xml:space="preserve"> </w:t>
      </w:r>
      <w:r>
        <w:t xml:space="preserve">is intentionally not included in this table, as it describes a tool rather than a research study.</w:t>
      </w:r>
    </w:p>
    <w:tbl>
      <w:tblPr>
        <w:tblStyle w:val="Table"/>
        <w:tblW w:type="pct" w:w="4999.999999999999"/>
        <w:tblLook w:firstRow="1" w:lastRow="0" w:firstColumn="0" w:lastColumn="0" w:noHBand="0" w:noVBand="0" w:val="0020"/>
        <w:tblCaption w:val="Table 5: Summary of studies included in this thesis, and used as evidence sources in the triangulation exercise performed in Chapter 7. Note, Chapter 3 is intentionally not included in this table, as it describes a tool rather than a research study."/>
      </w:tblPr>
      <w:tblGrid>
        <w:gridCol w:w="120"/>
        <w:gridCol w:w="2977"/>
        <w:gridCol w:w="1326"/>
        <w:gridCol w:w="385"/>
        <w:gridCol w:w="3110"/>
      </w:tblGrid>
      <w:tr>
        <w:tc>
          <w:p>
            <w:pPr>
              <w:pStyle w:val="Compact"/>
              <w:jc w:val="left"/>
            </w:pPr>
            <w:r>
              <w:t xml:space="preserve">Chapter</w:t>
            </w:r>
          </w:p>
        </w:tc>
        <w:tc>
          <w:p>
            <w:pPr>
              <w:pStyle w:val="Compact"/>
              <w:jc w:val="left"/>
            </w:pPr>
            <w:r>
              <w:t xml:space="preserve">Research Question</w:t>
            </w:r>
          </w:p>
        </w:tc>
        <w:tc>
          <w:p>
            <w:pPr>
              <w:pStyle w:val="Compact"/>
              <w:jc w:val="left"/>
            </w:pPr>
            <w:r>
              <w:t xml:space="preserve">Exposure/ Intervention</w:t>
            </w:r>
          </w:p>
        </w:tc>
        <w:tc>
          <w:p>
            <w:pPr>
              <w:pStyle w:val="Compact"/>
              <w:jc w:val="left"/>
            </w:pPr>
            <w:r>
              <w:t xml:space="preserve">Outcome</w:t>
            </w:r>
          </w:p>
        </w:tc>
        <w:tc>
          <w:p>
            <w:pPr>
              <w:pStyle w:val="Compact"/>
              <w:jc w:val="left"/>
            </w:pPr>
            <w:r>
              <w:t xml:space="preserve">Contibution to evidence synthesis framework</w:t>
            </w:r>
          </w:p>
        </w:tc>
      </w:tr>
      <w:tr>
        <w:tc>
          <w:p>
            <w:pPr>
              <w:pStyle w:val="Compact"/>
              <w:jc w:val="left"/>
            </w:pPr>
            <w:r>
              <w:t xml:space="preserve">Chapter 3</w:t>
            </w:r>
          </w:p>
        </w:tc>
        <w:tc>
          <w:p>
            <w:pPr>
              <w:pStyle w:val="Compact"/>
              <w:jc w:val="lef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tc>
        <w:tc>
          <w:p>
            <w:pPr>
              <w:pStyle w:val="Compact"/>
              <w:jc w:val="left"/>
            </w:pPr>
            <w:r>
              <w:t xml:space="preserve">Lipids (HDL-c, LDL-c, TC, TG),</w:t>
            </w:r>
            <w:r>
              <w:t xml:space="preserve"> </w:t>
            </w:r>
            <w:r>
              <w:t xml:space="preserve">Lipid regulating agents (statins, ezetimibe, fibrates, etc.)</w:t>
            </w:r>
          </w:p>
        </w:tc>
        <w:tc>
          <w:p>
            <w:pPr>
              <w:pStyle w:val="Compact"/>
              <w:jc w:val="left"/>
            </w:pPr>
            <w:r>
              <w:t xml:space="preserve">Dementia, stratified by subtype</w:t>
            </w:r>
          </w:p>
        </w:tc>
        <w:tc>
          <w:p>
            <w:pPr>
              <w:pStyle w:val="Compact"/>
              <w:jc w:val="left"/>
            </w:pPr>
            <w:r>
              <w:t xml:space="preserve">Provides overview of existing evidence</w:t>
            </w:r>
          </w:p>
        </w:tc>
      </w:tr>
      <w:tr>
        <w:tc>
          <w:p>
            <w:pPr>
              <w:pStyle w:val="Compact"/>
              <w:jc w:val="left"/>
            </w:pPr>
            <w:r>
              <w:t xml:space="preserve">Chapter 4</w:t>
            </w:r>
          </w:p>
        </w:tc>
        <w:tc>
          <w:p>
            <w:pPr>
              <w:pStyle w:val="Compact"/>
              <w:jc w:val="left"/>
            </w:pPr>
            <w:r>
              <w:t xml:space="preserve">Are lipid regulating agents associated with dementia risk in a large scale electonic health record database?</w:t>
            </w:r>
            <w:r>
              <w:t xml:space="preserve"> </w:t>
            </w:r>
          </w:p>
        </w:tc>
        <w:tc>
          <w:p>
            <w:pPr>
              <w:pStyle w:val="Compact"/>
              <w:jc w:val="left"/>
            </w:pPr>
            <w:r>
              <w:t xml:space="preserve">Seven classes of lipid regulating agents</w:t>
            </w:r>
          </w:p>
        </w:tc>
        <w:tc>
          <w:p>
            <w:pPr>
              <w:pStyle w:val="Compact"/>
              <w:jc w:val="left"/>
            </w:pPr>
            <w:r>
              <w:t xml:space="preserve">Dementia, stratified by subtype</w:t>
            </w:r>
          </w:p>
        </w:tc>
        <w:tc>
          <w:p>
            <w:pPr>
              <w:pStyle w:val="Compact"/>
              <w:jc w:val="lef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tc>
      </w:tr>
      <w:tr>
        <w:tc>
          <w:p>
            <w:pPr>
              <w:pStyle w:val="Compact"/>
              <w:jc w:val="left"/>
            </w:pPr>
            <w:r>
              <w:t xml:space="preserve">Chapter 5</w:t>
            </w:r>
          </w:p>
        </w:tc>
        <w:tc>
          <w:p>
            <w:pPr>
              <w:pStyle w:val="Compact"/>
              <w:jc w:val="left"/>
            </w:pPr>
            <w:r>
              <w:t xml:space="preserve">Are lipid levels associated with dementia risk in an individual participant data meta-analysis?</w:t>
            </w:r>
            <w:r>
              <w:t xml:space="preserve"> </w:t>
            </w:r>
          </w:p>
        </w:tc>
        <w:tc>
          <w:p>
            <w:pPr>
              <w:pStyle w:val="Compact"/>
              <w:jc w:val="left"/>
            </w:pPr>
            <w:r>
              <w:t xml:space="preserve">Lipids (HDL-c, LDL-c, TC, TG)</w:t>
            </w:r>
          </w:p>
        </w:tc>
        <w:tc>
          <w:p>
            <w:pPr>
              <w:pStyle w:val="Compact"/>
              <w:jc w:val="left"/>
            </w:pPr>
            <w:r>
              <w:t xml:space="preserve">Dementia, stratified by subtype</w:t>
            </w:r>
          </w:p>
        </w:tc>
        <w:tc>
          <w:p>
            <w:pPr>
              <w:pStyle w:val="Compact"/>
              <w:jc w:val="left"/>
            </w:pPr>
            <w:r>
              <w:t xml:space="preserve">Provides additional evidence from unanalysed datasets</w:t>
            </w:r>
            <w:r>
              <w:t xml:space="preserve"> </w:t>
            </w:r>
            <w:r>
              <w:t xml:space="preserve">Allows for stratification of effect by variables of interest (e.g. sex)</w:t>
            </w:r>
          </w:p>
        </w:tc>
      </w:tr>
    </w:tbl>
    <w:bookmarkEnd w:id="51"/>
    <w:bookmarkEnd w:id="52"/>
    <w:bookmarkStart w:id="60"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7"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53">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3</w:t>
      </w:r>
      <w:r>
        <w:t xml:space="preserve">. As is common for journal articles describing software, the paper is intentionally short providing only a broad overview of the tool while extensive documentation is available from the project website (see Section</w:t>
      </w:r>
      <w:r>
        <w:t xml:space="preserve"> </w:t>
      </w:r>
      <w:r>
        <w:t xml:space="preserve">3.2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(2020). Ensuring Prevention Science Research is Synthesis-Ready for Immediate and Lasting Scientific Impact. MetaArXiv. DOI:</w:t>
      </w:r>
      <w:r>
        <w:rPr>
          <w:iCs/>
          <w:i/>
        </w:rPr>
        <w:t xml:space="preserve"> </w:t>
      </w:r>
      <w:hyperlink r:id="rId54">
        <w:r>
          <w:rPr>
            <w:rStyle w:val="Hyperlink"/>
            <w:iCs/>
            <w:i/>
          </w:rPr>
          <w:t xml:space="preserve">10.31222/osf.io/ptg9j</w:t>
        </w:r>
      </w:hyperlink>
    </w:p>
    <w:p>
      <w:pPr>
        <w:pStyle w:val="BodyText"/>
      </w:pPr>
      <w:r>
        <w:t xml:space="preserve">The experience of extracting data for the systematic review in Chapter</w:t>
      </w:r>
      <w:r>
        <w:t xml:space="preserve"> </w:t>
      </w:r>
      <w:r>
        <w:t xml:space="preserve">4</w:t>
      </w:r>
      <w:r>
        <w:t xml:space="preserve"> </w:t>
      </w:r>
      <w:r>
        <w:t xml:space="preserve">inspired a practical guide for researchers. This piece was co-written with Dr. Emily Hennessy (see Author Declarations in the front materials).</w:t>
      </w:r>
      <w:r>
        <w:t xml:space="preserve"> </w:t>
      </w:r>
      <w:r>
        <w:t xml:space="preserve"> </w:t>
      </w:r>
      <w:r>
        <w:t xml:space="preserve">[Under 2nd round of review at Prevention Science]</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55">
        <w:r>
          <w:rPr>
            <w:rStyle w:val="Hyperlink"/>
            <w:iCs/>
            <w:i/>
          </w:rPr>
          <w:t xml:space="preserve">10.1002/jrsm.1411</w:t>
        </w:r>
      </w:hyperlink>
    </w:p>
    <w:p>
      <w:pPr>
        <w:pStyle w:val="BodyText"/>
      </w:pPr>
      <w:r>
        <w:t xml:space="preserve">The tool used to visualise the risk-of-bias assessments in Chapter</w:t>
      </w:r>
      <w:r>
        <w:t xml:space="preserve"> </w:t>
      </w:r>
      <w:r>
        <w:t xml:space="preserve">4</w:t>
      </w:r>
      <w:r>
        <w:t xml:space="preserve"> </w:t>
      </w:r>
      <w:r>
        <w:t xml:space="preserve">has been published in Research Synthesis Methods. See Appendix</w:t>
      </w:r>
      <w:r>
        <w:t xml:space="preserve"> </w:t>
      </w:r>
      <w:r>
        <w:t xml:space="preserve">10.2</w:t>
      </w:r>
      <w:r>
        <w:t xml:space="preserve"> </w:t>
      </w:r>
      <w:r>
        <w:t xml:space="preserve">for more details on this tool.</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PLOS ONE 16(5): e0250887. DOI:</w:t>
      </w:r>
      <w:r>
        <w:rPr>
          <w:iCs/>
          <w:i/>
        </w:rPr>
        <w:t xml:space="preserve"> </w:t>
      </w:r>
      <w:hyperlink r:id="rId56">
        <w:r>
          <w:rPr>
            <w:rStyle w:val="Hyperlink"/>
            <w:iCs/>
            <w:i/>
          </w:rPr>
          <w:t xml:space="preserve">10.1371/journal.pone.0250887</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openness of data availability statements accompanying a sample of medRxiv preprints and their published counterparts.</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9.1.1</w:t>
      </w:r>
      <w:r>
        <w:t xml:space="preserve">.</w:t>
      </w:r>
    </w:p>
    <w:p>
      <w:pPr>
        <w:pStyle w:val="BodyText"/>
      </w:pPr>
      <w:r>
        <w:t xml:space="preserve"> </w:t>
      </w:r>
    </w:p>
    <w:bookmarkEnd w:id="57"/>
    <w:bookmarkStart w:id="58"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Accepted poster abstract, Alzheimer’s Association International Conference 2021.</w:t>
      </w:r>
    </w:p>
    <w:p>
      <w:pPr>
        <w:pStyle w:val="BodyText"/>
      </w:pP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w:t>
      </w:r>
      <w:r>
        <w:t xml:space="preserve"> </w:t>
      </w:r>
      <w:r>
        <w:t xml:space="preserve">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t xml:space="preserve"> </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8"/>
    <w:bookmarkStart w:id="59"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115</w:t>
        </w:r>
      </w:hyperlink>
      <w:r>
        <w:t xml:space="preserve"> </w:t>
      </w:r>
      <w:r>
        <w:t xml:space="preserve">and bioRxiv</w:t>
      </w:r>
      <w:hyperlink w:anchor="ref-sever2019">
        <w:r>
          <w:rPr>
            <w:rStyle w:val="Hyperlink"/>
            <w:vertAlign w:val="superscript"/>
          </w:rPr>
          <w:t xml:space="preserve">116</w:t>
        </w:r>
      </w:hyperlink>
      <w:r>
        <w:t xml:space="preserve"> </w:t>
      </w:r>
      <w:r>
        <w:t xml:space="preserve">preprint repositories. See Chapter</w:t>
      </w:r>
      <w:r>
        <w:t xml:space="preserve"> </w:t>
      </w:r>
      <w:r>
        <w:t xml:space="preserve">3</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10.2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9"/>
    <w:bookmarkEnd w:id="60"/>
    <w:bookmarkStart w:id="61"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61"/>
    <w:bookmarkStart w:id="62" w:name="references"/>
    <w:p>
      <w:pPr>
        <w:pStyle w:val="Heading2"/>
      </w:pPr>
      <w:r>
        <w:t xml:space="preserve">References</w:t>
      </w:r>
    </w:p>
    <w:bookmarkEnd w:id="62"/>
    <w:bookmarkEnd w:id="63"/>
    <w:bookmarkStart w:id="91" w:name="sys-rev-tools-heading"/>
    <w:p>
      <w:pPr>
        <w:pStyle w:val="Heading1"/>
      </w:pPr>
      <w:r>
        <w:t xml:space="preserve">medrxivr: an R package for systematically searching biomedical preprints</w:t>
      </w:r>
    </w:p>
    <w:p>
      <w:pPr>
        <w:pStyle w:val="FirstParagraph"/>
      </w:pPr>
    </w:p>
    <w:bookmarkStart w:id="64"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64"/>
    <w:bookmarkStart w:id="67"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2.6.1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116</w:t>
        </w:r>
      </w:hyperlink>
      <w:r>
        <w:t xml:space="preserve"> </w:t>
      </w:r>
      <w:r>
        <w:t xml:space="preserve">and medRxiv, which evolved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 which launched in 2019.</w:t>
      </w:r>
      <w:hyperlink w:anchor="ref-rawlinson2019">
        <w:r>
          <w:rPr>
            <w:rStyle w:val="Hyperlink"/>
            <w:vertAlign w:val="superscript"/>
          </w:rPr>
          <w:t xml:space="preserve">115</w:t>
        </w:r>
      </w:hyperlink>
    </w:p>
    <w:p>
      <w:pPr>
        <w:pStyle w:val="BodyText"/>
      </w:pPr>
      <w:r>
        <w:t xml:space="preserve">Searching these preprints as part of the systematic review described in Chapter</w:t>
      </w:r>
      <w:r>
        <w:t xml:space="preserve"> </w:t>
      </w:r>
      <w:r>
        <w:t xml:space="preserve">4</w:t>
      </w:r>
      <w:r>
        <w:t xml:space="preserve"> </w:t>
      </w:r>
      <w:r>
        <w:t xml:space="preserve">was a necessity, as many of the existing reviews on the topic of lipids and dementia have not considered this important source of grey literature.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117</w:t>
        </w:r>
      </w:hyperlink>
      <w:r>
        <w:rPr>
          <w:vertAlign w:val="superscript"/>
        </w:rPr>
        <w:t xml:space="preserve">,</w:t>
      </w:r>
      <w:hyperlink w:anchor="ref-gusenbauer2020">
        <w:r>
          <w:rPr>
            <w:rStyle w:val="Hyperlink"/>
            <w:vertAlign w:val="superscript"/>
          </w:rPr>
          <w:t xml:space="preserve">118</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created to facilitate the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external projects and by other researchers is discussed. As the majority of work on this aspect of this thesis is represented by lines of code (available at</w:t>
      </w:r>
      <w:r>
        <w:t xml:space="preserve"> </w:t>
      </w:r>
      <w:hyperlink r:id="rId65">
        <w:r>
          <w:rPr>
            <w:rStyle w:val="Hyperlink"/>
          </w:rPr>
          <w:t xml:space="preserve">https://github.com/ropensci/medrxivr</w:t>
        </w:r>
      </w:hyperlink>
      <w:r>
        <w:t xml:space="preserve">) this Chapter is an intentionally short, high-level summary of the work done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p>
    <w:p>
      <w:pPr>
        <w:pStyle w:val="BodyText"/>
      </w:pPr>
      <w:r>
        <w:t xml:space="preserve"> </w:t>
      </w:r>
    </w:p>
    <w:p>
      <w:pPr>
        <w:pStyle w:val="CaptionedFigure"/>
      </w:pPr>
      <w:r>
        <w:drawing>
          <wp:inline>
            <wp:extent cx="5038405" cy="6210555"/>
            <wp:effectExtent b="0" l="0" r="0" t="0"/>
            <wp:docPr descr="Figure 2: Role of medrxivr in a systematic review workflow: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6"/>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7"/>
    <w:bookmarkStart w:id="74" w:name="development"/>
    <w:p>
      <w:pPr>
        <w:pStyle w:val="Heading2"/>
      </w:pPr>
      <w:r>
        <w:t xml:space="preserve">Development</w:t>
      </w:r>
    </w:p>
    <w:bookmarkStart w:id="68" w:name="success-criteria"/>
    <w:p>
      <w:pPr>
        <w:pStyle w:val="Heading3"/>
      </w:pPr>
      <w:r>
        <w:t xml:space="preserve">Success criteria</w:t>
      </w:r>
    </w:p>
    <w:p>
      <w:pPr>
        <w:pStyle w:val="FirstParagraph"/>
      </w:pPr>
      <w:r>
        <w:t xml:space="preserve">The tool was developed to meet three success criteria,</w:t>
      </w:r>
      <w:hyperlink w:anchor="ref-wateridge1995">
        <w:r>
          <w:rPr>
            <w:rStyle w:val="Hyperlink"/>
            <w:vertAlign w:val="superscript"/>
          </w:rPr>
          <w:t xml:space="preserve">119</w:t>
        </w:r>
      </w:hyperlink>
      <w:r>
        <w:t xml:space="preserve"> </w:t>
      </w:r>
      <w:r>
        <w:t xml:space="preserve">influenced both by the functionality required to perform systematic searches as part of the review in Chapter</w:t>
      </w:r>
      <w:r>
        <w:t xml:space="preserve"> </w:t>
      </w:r>
      <w:r>
        <w:t xml:space="preserve">4</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8"/>
    <w:bookmarkStart w:id="71" w:name="alternative-medrxivbiorxiv-interfaces"/>
    <w:p>
      <w:pPr>
        <w:pStyle w:val="Heading3"/>
      </w:pPr>
      <w:r>
        <w:t xml:space="preserve">Alternative medRxiv/bioRxiv interfaces</w:t>
      </w:r>
    </w:p>
    <w:p>
      <w:pPr>
        <w:pStyle w:val="FirstParagraph"/>
      </w:pPr>
      <w:r>
        <w:t xml:space="preserve">Prior development of this tool, an audit of existing tools for accessing medRxiv and bioRxiv metadata was conducted.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120</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r>
        <w:rPr>
          <w:rStyle w:val="FootnoteReference"/>
        </w:rPr>
        <w:footnoteReference w:id="69"/>
      </w:r>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121</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71"/>
    <w:bookmarkStart w:id="72"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4</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the initial version of the</w:t>
      </w:r>
      <w:r>
        <w:t xml:space="preserve"> </w:t>
      </w:r>
      <w:r>
        <w:rPr>
          <w:rStyle w:val="VerbatimChar"/>
        </w:rPr>
        <w:t xml:space="preserve">medrxivr</w:t>
      </w:r>
      <w:r>
        <w:t xml:space="preserve"> </w:t>
      </w:r>
      <w:r>
        <w:t xml:space="preserve">R package was released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122</w:t>
        </w:r>
      </w:hyperlink>
      <w:r>
        <w:rPr>
          <w:vertAlign w:val="superscript"/>
        </w:rPr>
        <w:t xml:space="preserve">,</w:t>
      </w:r>
      <w:hyperlink w:anchor="ref-laprie1992">
        <w:r>
          <w:rPr>
            <w:rStyle w:val="Hyperlink"/>
            <w:vertAlign w:val="superscript"/>
          </w:rPr>
          <w:t xml:space="preserve">123</w:t>
        </w:r>
      </w:hyperlink>
      <w:r>
        <w:t xml:space="preserve">. In the case of</w:t>
      </w:r>
      <w:r>
        <w:t xml:space="preserve"> </w:t>
      </w:r>
      <w:r>
        <w:rPr>
          <w:rStyle w:val="VerbatimChar"/>
        </w:rPr>
        <w:t xml:space="preserve">medrxivr</w:t>
      </w:r>
      <w:r>
        <w:t xml:space="preserve">, constant maintenance work was required to ensure the web-scraping script performed as expected, as the repository website was regularly updated.</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123</w:t>
        </w:r>
      </w:hyperlink>
    </w:p>
    <w:p>
      <w:pPr>
        <w:pStyle w:val="BodyText"/>
      </w:pPr>
      <w:r>
        <w:t xml:space="preserve"> </w:t>
      </w:r>
    </w:p>
    <w:bookmarkEnd w:id="72"/>
    <w:bookmarkStart w:id="73" w:name="package-infrastructure"/>
    <w:p>
      <w:pPr>
        <w:pStyle w:val="Heading3"/>
      </w:pPr>
      <w:r>
        <w:t xml:space="preserve">Package infrastructure</w:t>
      </w:r>
    </w:p>
    <w:p>
      <w:pPr>
        <w:pStyle w:val="FirstParagraph"/>
      </w:pPr>
      <w:r>
        <w:t xml:space="preserve">The</w:t>
      </w:r>
      <w:r>
        <w:t xml:space="preserve"> </w:t>
      </w:r>
      <w:r>
        <w:rPr>
          <w:rStyle w:val="VerbatimChar"/>
        </w:rPr>
        <w:t xml:space="preserve">medrxvir</w:t>
      </w:r>
      <w:r>
        <w:t xml:space="preserve"> </w:t>
      </w:r>
      <w:r>
        <w:t xml:space="preserve">package was written in R using RStudio,</w:t>
      </w:r>
      <w:hyperlink w:anchor="ref-rcoreteam2019">
        <w:r>
          <w:rPr>
            <w:rStyle w:val="Hyperlink"/>
            <w:vertAlign w:val="superscript"/>
          </w:rPr>
          <w:t xml:space="preserve">124</w:t>
        </w:r>
      </w:hyperlink>
      <w:r>
        <w:t xml:space="preserve"> </w:t>
      </w:r>
      <w:r>
        <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73"/>
    <w:bookmarkEnd w:id="74"/>
    <w:bookmarkStart w:id="82"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for users to search both medRxiv and bioRxiv, as the process is identical for both, the examples in the sections are limited to the medRxiv repository.</w:t>
      </w:r>
    </w:p>
    <w:p>
      <w:pPr>
        <w:pStyle w:val="BodyText"/>
      </w:pPr>
      <w:r>
        <w:t xml:space="preserve"> </w:t>
      </w:r>
    </w:p>
    <w:bookmarkStart w:id="75"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75"/>
    <w:bookmarkStart w:id="77" w:name="importing-preprint-metadata"/>
    <w:p>
      <w:pPr>
        <w:pStyle w:val="Heading3"/>
      </w:pPr>
      <w:r>
        <w:t xml:space="preserve">Importing preprint metadata</w:t>
      </w:r>
    </w:p>
    <w:p>
      <w:pPr>
        <w:pStyle w:val="FirstParagraph"/>
      </w:pPr>
      <w:r>
        <w:rPr>
          <w:rStyle w:val="VerbatimChar"/>
        </w:rPr>
        <w:t xml:space="preserve">medrixvr</w:t>
      </w:r>
      <w:r>
        <w:t xml:space="preserve"> </w:t>
      </w:r>
      <w:r>
        <w:t xml:space="preserve">provides two ways to access medRxiv data, as shown in Figure</w:t>
      </w:r>
      <w:r>
        <w:t xml:space="preserve"> </w:t>
      </w:r>
      <w:r>
        <w:t xml:space="preserve">3</w:t>
      </w:r>
      <w:r>
        <w:t xml:space="preserve">. The first,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  </w:t>
      </w:r>
    </w:p>
    <w:p>
      <w:pPr>
        <w:pStyle w:val="FirstParagraph"/>
      </w:pPr>
      <w:r>
        <w:t xml:space="preserve"> </w:t>
      </w:r>
    </w:p>
    <w:p>
      <w:pPr>
        <w:pStyle w:val="BodyText"/>
      </w:pPr>
      <w:r>
        <w:t xml:space="preserve">The second, via the</w:t>
      </w:r>
      <w:r>
        <w:t xml:space="preserve"> </w:t>
      </w:r>
      <w:r>
        <w:rPr>
          <w:rStyle w:val="VerbatimChar"/>
        </w:rPr>
        <w:t xml:space="preserve">mx_snapshot()</w:t>
      </w:r>
      <w:r>
        <w:t xml:space="preserve"> </w:t>
      </w:r>
      <w:r>
        <w:t xml:space="preserve">function, provides access to a maintained static snapshot of the database, created each morning at 6am using</w:t>
      </w:r>
      <w:r>
        <w:t xml:space="preserve"> </w:t>
      </w:r>
      <w:r>
        <w:rPr>
          <w:rStyle w:val="VerbatimChar"/>
        </w:rPr>
        <w:t xml:space="preserve">mx_api_content()</w:t>
      </w:r>
      <w:r>
        <w:t xml:space="preserv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Allowing users of</w:t>
      </w:r>
      <w:r>
        <w:t xml:space="preserve"> </w:t>
      </w:r>
      <w:r>
        <w:rPr>
          <w:rStyle w:val="VerbatimChar"/>
        </w:rPr>
        <w:t xml:space="preserve">medrxivr</w:t>
      </w:r>
      <w:r>
        <w:t xml:space="preserve"> </w:t>
      </w:r>
      <w:r>
        <w:t xml:space="preserve">to access a maintained snapshot removes any dependency on the API, which can become unavailable during peak usage times. The relationship between the two methods for accessing the data contained in the medRxiv database is summarized in Figure</w:t>
      </w:r>
      <w:r>
        <w:t xml:space="preserve"> </w:t>
      </w:r>
      <w:r>
        <w:t xml:space="preserve">3</w:t>
      </w:r>
      <w:r>
        <w:t xml:space="preserve">.</w:t>
      </w:r>
    </w:p>
    <w:p>
      <w:pPr>
        <w:pStyle w:val="BodyText"/>
      </w:pPr>
      <w:r>
        <w:t xml:space="preserve"> </w:t>
      </w:r>
    </w:p>
    <w:p>
      <w:pPr>
        <w:pStyle w:val="CaptionedFigure"/>
      </w:pPr>
      <w:r>
        <w:drawing>
          <wp:inline>
            <wp:extent cx="5943600" cy="4119238"/>
            <wp:effectExtent b="0" l="0" r="0" t="0"/>
            <wp:docPr descr="Figure 3: Overview of medrxivr data sources: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76"/>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7"/>
    <w:bookmarkStart w:id="78"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8"/>
    <w:bookmarkStart w:id="79" w:name="refining-your-search"/>
    <w:p>
      <w:pPr>
        <w:pStyle w:val="Heading3"/>
      </w:pPr>
      <w:r>
        <w:t xml:space="preserve">Refining your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r>
        <w:t xml:space="preserve"> </w:t>
      </w:r>
      <w:r>
        <w:rPr>
          <w:bCs/>
          <w:b/>
        </w:rPr>
        <w:t xml:space="preserve">[CITATION NEEDED - PRISMA-S]</w:t>
      </w:r>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 </w:t>
      </w:r>
      <w:r>
        <w:rPr>
          <w:rStyle w:val="CommentTok"/>
        </w:rPr>
        <w:t xml:space="preserve"># Combined with OR</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125</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9"/>
    <w:bookmarkStart w:id="80" w:name="exporting-to-a-bibliography-file"/>
    <w:p>
      <w:pPr>
        <w:pStyle w:val="Heading3"/>
      </w:pPr>
      <w:r>
        <w:t xml:space="preserve">Exporting to a bibliography file</w:t>
      </w:r>
    </w:p>
    <w:p>
      <w:pPr>
        <w:pStyle w:val="FirstParagraph"/>
      </w:pPr>
      <w:r>
        <w:t xml:space="preserve">In line with the second success criteria (Section</w:t>
      </w:r>
      <w:r>
        <w:t xml:space="preserve"> </w:t>
      </w:r>
      <w:r>
        <w:t xml:space="preserve">3.3.1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80"/>
    <w:bookmarkStart w:id="81"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2</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81"/>
    <w:bookmarkEnd w:id="82"/>
    <w:bookmarkStart w:id="88" w:name="discussion"/>
    <w:p>
      <w:pPr>
        <w:pStyle w:val="Heading2"/>
      </w:pPr>
      <w:r>
        <w:t xml:space="preserve">Discussion</w:t>
      </w:r>
    </w:p>
    <w:bookmarkStart w:id="85"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3700 times), and several use cases have been reported. It has been used to investigate the role of preprints in the response to the 2019 coronavirus outbreak,</w:t>
      </w:r>
      <w:hyperlink w:anchor="ref-kodvanj2020">
        <w:r>
          <w:rPr>
            <w:rStyle w:val="Hyperlink"/>
            <w:vertAlign w:val="superscript"/>
          </w:rPr>
          <w:t xml:space="preserve">126</w:t>
        </w:r>
      </w:hyperlink>
      <w:r>
        <w:t xml:space="preserve"> </w:t>
      </w:r>
      <w:r>
        <w:t xml:space="preserve">perform searches of preprints as part of a systematic review,</w:t>
      </w:r>
      <w:hyperlink w:anchor="ref-noone2020">
        <w:r>
          <w:rPr>
            <w:rStyle w:val="Hyperlink"/>
            <w:vertAlign w:val="superscript"/>
          </w:rPr>
          <w:t xml:space="preserve">127</w:t>
        </w:r>
      </w:hyperlink>
      <w:r>
        <w:rPr>
          <w:vertAlign w:val="superscript"/>
        </w:rPr>
        <w:t xml:space="preserve">,</w:t>
      </w:r>
      <w:hyperlink w:anchor="ref-grassly2020">
        <w:r>
          <w:rPr>
            <w:rStyle w:val="Hyperlink"/>
            <w:vertAlign w:val="superscript"/>
          </w:rPr>
          <w:t xml:space="preserve">128</w:t>
        </w:r>
      </w:hyperlink>
      <w:r>
        <w:t xml:space="preserve"> </w:t>
      </w:r>
      <w:r>
        <w:t xml:space="preserve">and examine how data-sharing behaviour is affected by journal policies (see</w:t>
      </w:r>
      <w:r>
        <w:t xml:space="preserve"> </w:t>
      </w:r>
      <w:r>
        <w:t xml:space="preserve">2.8</w:t>
      </w:r>
      <w:r>
        <w:t xml:space="preserve">).</w:t>
      </w:r>
      <w:hyperlink w:anchor="ref-mcguinness2020c">
        <w:r>
          <w:rPr>
            <w:rStyle w:val="Hyperlink"/>
            <w:vertAlign w:val="superscript"/>
          </w:rPr>
          <w:t xml:space="preserve">129</w:t>
        </w:r>
      </w:hyperlink>
    </w:p>
    <w:p>
      <w:pPr>
        <w:pStyle w:val="BodyText"/>
      </w:pPr>
      <w:r>
        <w:t xml:space="preserve">The package was been onboarded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130</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vertAlign w:val="superscript"/>
          </w:rPr>
          <w:t xml:space="preserve">131</w:t>
        </w:r>
      </w:hyperlink>
      <w:r>
        <w:t xml:space="preserve"> </w:t>
      </w:r>
      <w:r>
        <w:t xml:space="preserve">The entire review discussion is publicly available and can be viewed online.</w:t>
      </w:r>
      <w:r>
        <w:rPr>
          <w:rStyle w:val="FootnoteReference"/>
        </w:rPr>
        <w:footnoteReference w:id="83"/>
      </w:r>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85"/>
    <w:bookmarkStart w:id="86" w:name="limitations-of-medrxivr"/>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this thesis presented in Chapter</w:t>
      </w:r>
      <w:r>
        <w:t xml:space="preserve"> </w:t>
      </w:r>
      <w:r>
        <w:t xml:space="preserve">4</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132</w:t>
        </w:r>
      </w:hyperlink>
    </w:p>
    <w:p>
      <w:pPr>
        <w:pStyle w:val="BodyText"/>
      </w:pPr>
      <w:r>
        <w:t xml:space="preserve">There is also the potential that the cross-section of literature posted on medrxiv/bioRxiv is substantially different from the true grey literature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133</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86</w:t>
        </w:r>
      </w:hyperlink>
      <w:r>
        <w:t xml:space="preserve"> </w:t>
      </w: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86"/>
    <w:bookmarkStart w:id="87"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vertAlign w:val="superscript"/>
          </w:rPr>
          <w:t xml:space="preserve">134</w:t>
        </w:r>
      </w:hyperlink>
      <w:r>
        <w:rPr>
          <w:vertAlign w:val="superscript"/>
        </w:rPr>
        <w:t xml:space="preserve">,</w:t>
      </w:r>
      <w:hyperlink w:anchor="ref-mckiernan2016c">
        <w:r>
          <w:rPr>
            <w:rStyle w:val="Hyperlink"/>
            <w:vertAlign w:val="superscript"/>
          </w:rPr>
          <w:t xml:space="preserve">135</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vertAlign w:val="superscript"/>
          </w:rPr>
          <w:t xml:space="preserve">136</w:t>
        </w:r>
      </w:hyperlink>
      <w:r>
        <w:t xml:space="preserve"> </w:t>
      </w:r>
      <w:r>
        <w:t xml:space="preserve">If these scripts continue to be developed in private and are never shared or publicised, this will inevitably harm to the evidence synthesis community, not only in terms of duplication of time and effort but also due to lost opportunities for collaboration.</w:t>
      </w:r>
      <w:hyperlink w:anchor="ref-mckiernan2016c">
        <w:r>
          <w:rPr>
            <w:rStyle w:val="Hyperlink"/>
            <w:vertAlign w:val="superscript"/>
          </w:rPr>
          <w:t xml:space="preserve">135</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137</w:t>
        </w:r>
      </w:hyperlink>
    </w:p>
    <w:bookmarkEnd w:id="87"/>
    <w:bookmarkEnd w:id="88"/>
    <w:bookmarkStart w:id="89"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4</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9"/>
    <w:bookmarkStart w:id="90" w:name="references-1"/>
    <w:p>
      <w:pPr>
        <w:pStyle w:val="Heading2"/>
      </w:pPr>
      <w:r>
        <w:t xml:space="preserve">References</w:t>
      </w:r>
    </w:p>
    <w:bookmarkEnd w:id="90"/>
    <w:bookmarkEnd w:id="91"/>
    <w:bookmarkStart w:id="142" w:name="sys-rev-heading"/>
    <w:p>
      <w:pPr>
        <w:pStyle w:val="Heading1"/>
      </w:pPr>
      <w:r>
        <w:t xml:space="preserve">Systematic review of all available evidence</w:t>
      </w:r>
    </w:p>
    <w:p>
      <w:pPr>
        <w:pStyle w:val="FirstParagraph"/>
      </w:pPr>
    </w:p>
    <w:bookmarkStart w:id="92" w:name="lay-summary-2"/>
    <w:p>
      <w:pPr>
        <w:pStyle w:val="Heading2"/>
      </w:pPr>
      <w:r>
        <w:t xml:space="preserve">Lay summary</w:t>
      </w:r>
    </w:p>
    <w:p>
      <w:pPr>
        <w:pStyle w:val="FirstParagraph"/>
      </w:pPr>
      <w:r>
        <w:t xml:space="preserve">The importance of</w:t>
      </w:r>
    </w:p>
    <w:p>
      <w:pPr>
        <w:pStyle w:val="BodyText"/>
      </w:pPr>
      <w:r>
        <w:t xml:space="preserve">I found that</w:t>
      </w:r>
    </w:p>
    <w:p>
      <w:pPr>
        <w:pStyle w:val="BodyText"/>
      </w:pPr>
      <w:r>
        <w:t xml:space="preserve">The results of this review are used to guide the primary analysis presented in Chapter</w:t>
      </w:r>
      <w:r>
        <w:t xml:space="preserve"> </w:t>
      </w:r>
      <w:r>
        <w:t xml:space="preserve">5</w:t>
      </w:r>
      <w:r>
        <w:t xml:space="preserve">, in addition to forming a key evidence source used in the triangulation exercise presented in Chapter</w:t>
      </w:r>
      <w:r>
        <w:t xml:space="preserve"> </w:t>
      </w:r>
      <w:r>
        <w:t xml:space="preserve">7</w:t>
      </w:r>
      <w:r>
        <w:t xml:space="preserve">.</w:t>
      </w:r>
    </w:p>
    <w:bookmarkEnd w:id="92"/>
    <w:bookmarkStart w:id="93" w:name="sys-rev-intro"/>
    <w:p>
      <w:pPr>
        <w:pStyle w:val="Heading2"/>
      </w:pPr>
      <w:r>
        <w:t xml:space="preserve">Introduction</w:t>
      </w:r>
    </w:p>
    <w:p>
      <w:pPr>
        <w:pStyle w:val="FirstParagraph"/>
      </w:pPr>
      <w:r>
        <w:t xml:space="preserve">The aim of this chapter is to systematically review all available literature on the association between blood levels of total cholesterol and it’s constituent parts (HDL-c,LDL-c and triglycerides) on the subsequent risk of dementia.</w:t>
      </w:r>
    </w:p>
    <w:p>
      <w:pPr>
        <w:pStyle w:val="BodyText"/>
      </w:pPr>
      <w:r>
        <w:t xml:space="preserve">Based on the review of existing literature, no previous evidence synthesis exercise attempted to examine all available literature simultaneously.</w:t>
      </w:r>
    </w:p>
    <w:p>
      <w:pPr>
        <w:pStyle w:val="BodyText"/>
      </w:pPr>
      <w:r>
        <w:t xml:space="preserve">Only by looking across all available evidence can the true, given the often limited use of one type of evidence (RCTs are hard to do, obs studies are biased).</w:t>
      </w:r>
    </w:p>
    <w:p>
      <w:pPr>
        <w:pStyle w:val="BodyText"/>
      </w:pPr>
      <w:r>
        <w:t xml:space="preserve">Literature con</w:t>
      </w:r>
    </w:p>
    <w:bookmarkEnd w:id="93"/>
    <w:bookmarkStart w:id="115" w:name="methods"/>
    <w:p>
      <w:pPr>
        <w:pStyle w:val="Heading2"/>
      </w:pPr>
      <w:r>
        <w:t xml:space="preserve">Methods</w:t>
      </w:r>
    </w:p>
    <w:bookmarkStart w:id="94" w:name="protocol"/>
    <w:p>
      <w:pPr>
        <w:pStyle w:val="Heading3"/>
      </w:pPr>
      <w:r>
        <w:t xml:space="preserve">Protocol</w:t>
      </w:r>
    </w:p>
    <w:p>
      <w:pPr>
        <w:pStyle w:val="FirstParagraph"/>
      </w:pPr>
      <w:r>
        <w:t xml:space="preserve">A pre-specified protocol for this analysis was registered using the Open Science Framework, and is available for inspection.</w:t>
      </w:r>
      <w:hyperlink w:anchor="ref-mcguinnessluke2020">
        <w:r>
          <w:rPr>
            <w:rStyle w:val="Hyperlink"/>
            <w:vertAlign w:val="superscript"/>
          </w:rPr>
          <w:t xml:space="preserve">138</w:t>
        </w:r>
      </w:hyperlink>
    </w:p>
    <w:bookmarkEnd w:id="94"/>
    <w:bookmarkStart w:id="95" w:name="search-strategy"/>
    <w:p>
      <w:pPr>
        <w:pStyle w:val="Heading3"/>
      </w:pPr>
      <w:r>
        <w:t xml:space="preserve">Search strategy</w:t>
      </w:r>
    </w:p>
    <w:p>
      <w:pPr>
        <w:pStyle w:val="FirstParagraph"/>
      </w:pPr>
      <w:r>
        <w:t xml:space="preserve">I systematically search electronic bibliographic databases to identify potentially relevant records. The search strategy used in each database was developed in an iterative manner using a combination of free text and controlled vocabulary (MeSH/EMTREE)</w:t>
      </w:r>
      <w:hyperlink w:anchor="ref-lefebvre2019searching">
        <w:r>
          <w:rPr>
            <w:rStyle w:val="Hyperlink"/>
            <w:vertAlign w:val="superscript"/>
          </w:rPr>
          <w:t xml:space="preserve">82</w:t>
        </w:r>
      </w:hyperlink>
      <w:r>
        <w:t xml:space="preserve"> </w:t>
      </w:r>
      <w:r>
        <w:t xml:space="preserve">terms to identify studies which have examined the relationship between blood lipids levels and dementia, incorporating input from an information specialist. The strategy will include terms related to lipids, lipid modifying treatments, and dementia and its sub-types, and was designed for MEDLINE before being adapted for use in the other bibliography databases listed. An outline of the general strategy is presented in the Table</w:t>
      </w:r>
      <w:r>
        <w:t xml:space="preserve"> </w:t>
      </w:r>
      <w:r>
        <w:t xml:space="preserve">6</w:t>
      </w:r>
      <w:r>
        <w:t xml:space="preserve"> </w:t>
      </w:r>
      <w:r>
        <w:t xml:space="preserve">below and the full draft search strategies for each database are presented in Appendix</w:t>
      </w:r>
      <w:r>
        <w:t xml:space="preserve"> </w:t>
      </w:r>
      <w:r>
        <w:t xml:space="preserve">9.2.1</w:t>
      </w:r>
      <w:r>
        <w:t xml:space="preserve">.</w:t>
      </w:r>
      <w:r>
        <w:t xml:space="preserve"> </w:t>
      </w:r>
    </w:p>
    <w:p>
      <w:pPr>
        <w:pStyle w:val="BodyText"/>
      </w:pPr>
      <w:r>
        <w:t xml:space="preserve"> </w:t>
      </w:r>
    </w:p>
    <w:p>
      <w:pPr>
        <w:pStyle w:val="TableCaption"/>
      </w:pPr>
      <w:r>
        <w:t xml:space="preserve">Table 6: Summary of systematic search by topic. The full search strategy including all terms and the number of hits per term is included in Appendix</w:t>
      </w:r>
      <w:r>
        <w:t xml:space="preserve"> </w:t>
      </w:r>
      <w:r>
        <w:t xml:space="preserve">9.2.1</w:t>
      </w:r>
      <w:r>
        <w:t xml:space="preserve">.</w:t>
      </w:r>
    </w:p>
    <w:tbl>
      <w:tblPr>
        <w:tblStyle w:val="Table"/>
        <w:tblW w:type="pct" w:w="0.0"/>
        <w:tblLook w:firstRow="1" w:lastRow="0" w:firstColumn="0" w:lastColumn="0" w:noHBand="0" w:noVBand="0" w:val="0020"/>
        <w:tblCaption w:val="Table 6: Summary of systematic search by topic. The full search strategy including all terms and the number of hits per term is included in Appendix 9.2.1."/>
      </w:tblPr>
      <w:tblGrid/>
      <w:tr>
        <w:tc>
          <w:p>
            <w:pPr>
              <w:pStyle w:val="Compact"/>
              <w:jc w:val="right"/>
            </w:pPr>
            <w:r>
              <w:t xml:space="preserve">No.</w:t>
            </w:r>
          </w:p>
        </w:tc>
        <w:tc>
          <w:p>
            <w:pPr>
              <w:pStyle w:val="Compact"/>
              <w:jc w:val="left"/>
            </w:pPr>
            <w:r>
              <w:t xml:space="preserve">Concept</w:t>
            </w:r>
          </w:p>
        </w:tc>
      </w:tr>
      <w:tr>
        <w:tc>
          <w:p>
            <w:pPr>
              <w:pStyle w:val="Compact"/>
              <w:jc w:val="right"/>
            </w:pPr>
            <w:r>
              <w:t xml:space="preserve">1</w:t>
            </w:r>
          </w:p>
        </w:tc>
        <w:tc>
          <w:p>
            <w:pPr>
              <w:pStyle w:val="Compact"/>
              <w:jc w:val="left"/>
            </w:pPr>
            <w:r>
              <w:t xml:space="preserve">Dementia/Mild Cognitive Impairment</w:t>
            </w:r>
          </w:p>
        </w:tc>
      </w:tr>
      <w:tr>
        <w:tc>
          <w:p>
            <w:pPr>
              <w:pStyle w:val="Compact"/>
              <w:jc w:val="right"/>
            </w:pPr>
            <w:r>
              <w:t xml:space="preserve">2</w:t>
            </w:r>
          </w:p>
        </w:tc>
        <w:tc>
          <w:p>
            <w:pPr>
              <w:pStyle w:val="Compact"/>
              <w:jc w:val="left"/>
            </w:pPr>
            <w:r>
              <w:t xml:space="preserve">Lipids</w:t>
            </w:r>
          </w:p>
        </w:tc>
      </w:tr>
      <w:tr>
        <w:tc>
          <w:p>
            <w:pPr>
              <w:pStyle w:val="Compact"/>
              <w:jc w:val="right"/>
            </w:pPr>
            <w:r>
              <w:t xml:space="preserve">3</w:t>
            </w:r>
          </w:p>
        </w:tc>
        <w:tc>
          <w:p>
            <w:pPr>
              <w:pStyle w:val="Compact"/>
              <w:jc w:val="left"/>
            </w:pPr>
            <w:r>
              <w:t xml:space="preserve">Lipid-modifying treatments</w:t>
            </w:r>
          </w:p>
        </w:tc>
      </w:tr>
      <w:tr>
        <w:tc>
          <w:p>
            <w:pPr>
              <w:pStyle w:val="Compact"/>
              <w:jc w:val="right"/>
            </w:pPr>
            <w:r>
              <w:t xml:space="preserve">4</w:t>
            </w:r>
          </w:p>
        </w:tc>
        <w:tc>
          <w:p>
            <w:pPr>
              <w:pStyle w:val="Compact"/>
              <w:jc w:val="left"/>
            </w:pPr>
            <w:r>
              <w:t xml:space="preserve">1 AND 2</w:t>
            </w:r>
          </w:p>
        </w:tc>
      </w:tr>
      <w:tr>
        <w:tc>
          <w:p>
            <w:pPr>
              <w:pStyle w:val="Compact"/>
              <w:jc w:val="right"/>
            </w:pPr>
            <w:r>
              <w:t xml:space="preserve">5</w:t>
            </w:r>
          </w:p>
        </w:tc>
        <w:tc>
          <w:p>
            <w:pPr>
              <w:pStyle w:val="Compact"/>
              <w:jc w:val="left"/>
            </w:pPr>
            <w:r>
              <w:t xml:space="preserve">1 AND 3</w:t>
            </w:r>
          </w:p>
        </w:tc>
      </w:tr>
      <w:tr>
        <w:tc>
          <w:p>
            <w:pPr>
              <w:pStyle w:val="Compact"/>
              <w:jc w:val="right"/>
            </w:pPr>
            <w:r>
              <w:t xml:space="preserve">6</w:t>
            </w:r>
          </w:p>
        </w:tc>
        <w:tc>
          <w:p>
            <w:pPr>
              <w:pStyle w:val="Compact"/>
              <w:jc w:val="left"/>
            </w:pPr>
            <w:r>
              <w:t xml:space="preserve">4 OR 5</w:t>
            </w:r>
          </w:p>
        </w:tc>
      </w:tr>
      <w:tr>
        <w:tc>
          <w:p>
            <w:pPr>
              <w:pStyle w:val="Compact"/>
              <w:jc w:val="right"/>
            </w:pPr>
            <w:r>
              <w:t xml:space="preserve">7</w:t>
            </w:r>
          </w:p>
        </w:tc>
        <w:tc>
          <w:p>
            <w:pPr>
              <w:pStyle w:val="Compact"/>
              <w:jc w:val="left"/>
            </w:pPr>
            <w:r>
              <w:t xml:space="preserve">Animals NOT (Animals AND Humans)</w:t>
            </w:r>
          </w:p>
        </w:tc>
      </w:tr>
      <w:tr>
        <w:tc>
          <w:p>
            <w:pPr>
              <w:pStyle w:val="Compact"/>
              <w:jc w:val="right"/>
            </w:pPr>
            <w:r>
              <w:t xml:space="preserve">8</w:t>
            </w:r>
          </w:p>
        </w:tc>
        <w:tc>
          <w:p>
            <w:pPr>
              <w:pStyle w:val="Compact"/>
              <w:jc w:val="left"/>
            </w:pPr>
            <w:r>
              <w:t xml:space="preserve">6 NOT 7</w:t>
            </w:r>
          </w:p>
        </w:tc>
      </w:tr>
      <w:tr>
        <w:tc>
          <w:p>
            <w:pPr>
              <w:pStyle w:val="Compact"/>
              <w:jc w:val="right"/>
            </w:pPr>
            <w:r>
              <w:t xml:space="preserve">9</w:t>
            </w:r>
          </w:p>
        </w:tc>
        <w:tc>
          <w:p>
            <w:pPr>
              <w:pStyle w:val="Compact"/>
              <w:jc w:val="left"/>
            </w:pPr>
            <w:r>
              <w:t xml:space="preserve">Observational filter</w:t>
            </w:r>
          </w:p>
        </w:tc>
      </w:tr>
      <w:tr>
        <w:tc>
          <w:p>
            <w:pPr>
              <w:pStyle w:val="Compact"/>
              <w:jc w:val="right"/>
            </w:pPr>
            <w:r>
              <w:t xml:space="preserve">10</w:t>
            </w:r>
          </w:p>
        </w:tc>
        <w:tc>
          <w:p>
            <w:pPr>
              <w:pStyle w:val="Compact"/>
              <w:jc w:val="left"/>
            </w:pPr>
            <w:r>
              <w:t xml:space="preserve">Randomised controlled trial (RCT) filter</w:t>
            </w:r>
          </w:p>
        </w:tc>
      </w:tr>
      <w:tr>
        <w:tc>
          <w:p>
            <w:pPr>
              <w:pStyle w:val="Compact"/>
              <w:jc w:val="right"/>
            </w:pPr>
            <w:r>
              <w:t xml:space="preserve">11</w:t>
            </w:r>
          </w:p>
        </w:tc>
        <w:tc>
          <w:p>
            <w:pPr>
              <w:pStyle w:val="Compact"/>
              <w:jc w:val="left"/>
            </w:pPr>
            <w:r>
              <w:t xml:space="preserve">Mendelian randomisation/Instrumental variable filter</w:t>
            </w:r>
          </w:p>
        </w:tc>
      </w:tr>
      <w:tr>
        <w:tc>
          <w:p>
            <w:pPr>
              <w:pStyle w:val="Compact"/>
              <w:jc w:val="right"/>
            </w:pPr>
            <w:r>
              <w:t xml:space="preserve">12</w:t>
            </w:r>
          </w:p>
        </w:tc>
        <w:tc>
          <w:p>
            <w:pPr>
              <w:pStyle w:val="Compact"/>
              <w:jc w:val="left"/>
            </w:pPr>
            <w:r>
              <w:t xml:space="preserve">OR/ 9-11</w:t>
            </w:r>
          </w:p>
        </w:tc>
      </w:tr>
      <w:tr>
        <w:tc>
          <w:p>
            <w:pPr>
              <w:pStyle w:val="Compact"/>
              <w:jc w:val="right"/>
            </w:pPr>
            <w:r>
              <w:t xml:space="preserve">13</w:t>
            </w:r>
          </w:p>
        </w:tc>
        <w:tc>
          <w:p>
            <w:pPr>
              <w:pStyle w:val="Compact"/>
              <w:jc w:val="left"/>
            </w:pPr>
            <w:r>
              <w:t xml:space="preserve">8 AND 12</w:t>
            </w:r>
          </w:p>
        </w:tc>
      </w:tr>
    </w:tbl>
    <w:p>
      <w:pPr>
        <w:pStyle w:val="BodyText"/>
      </w:pPr>
      <w:r>
        <w:t xml:space="preserve"> </w:t>
      </w:r>
    </w:p>
    <w:p>
      <w:pPr>
        <w:pStyle w:val="BodyText"/>
      </w:pPr>
      <w:r>
        <w:t xml:space="preserve">To ensure that the study design filters are not excluding potentially relevant records, a random sample of 500 records identified by the main search but excluded by the filters (defined as</w:t>
      </w:r>
      <w:r>
        <w:t xml:space="preserve"> </w:t>
      </w:r>
      <w:r>
        <w:t xml:space="preserve">“</w:t>
      </w:r>
      <w:r>
        <w:t xml:space="preserve">8 NOT 14</w:t>
      </w:r>
      <w:r>
        <w:t xml:space="preserve">”</w:t>
      </w:r>
      <w:r>
        <w:t xml:space="preserve"> </w:t>
      </w:r>
      <w:r>
        <w:t xml:space="preserve">in Table</w:t>
      </w:r>
      <w:r>
        <w:t xml:space="preserve"> </w:t>
      </w:r>
      <w:r>
        <w:t xml:space="preserve">6</w:t>
      </w:r>
      <w:r>
        <w:t xml:space="preserve">) was screened. If any potentially relevant studies are identified, their titles and abstracts were searched for key terms that can be incorporated into the filters to improve search sensitivity.</w:t>
      </w:r>
    </w:p>
    <w:p>
      <w:pPr>
        <w:pStyle w:val="BodyText"/>
      </w:pPr>
      <w:r>
        <w:t xml:space="preserve">The following databases were searched from inception onwards: Medline, EMBASE, Psychinfo, Cochrane Central Register of Controlled Trials (CENTRAL), and Web of Science Core Collection (for the specific databases available thi via the University). We will also search clinical trial registries, for example ClinicalTrials.gov, to identify relevant randomized controlled trials. As the contents of the Web of Science Core COllection can vary by institution, the specific database searched via this platform are listed in Appendix</w:t>
      </w:r>
      <w:r>
        <w:t xml:space="preserve"> </w:t>
      </w:r>
      <w:r>
        <w:t xml:space="preserve">9.2.2</w:t>
      </w:r>
      <w:r>
        <w:t xml:space="preserve">.</w:t>
      </w:r>
    </w:p>
    <w:p>
      <w:pPr>
        <w:pStyle w:val="BodyText"/>
      </w:pPr>
      <w:r>
        <w:t xml:space="preserve">The abstracts list of relevant conferences (e.g. the proceedings of the Alzheimer’s Association International Conference, published in the journal Alzheimer’s &amp; Dementia) were searched by hand.</w:t>
      </w:r>
      <w:r>
        <w:t xml:space="preserve"> </w:t>
      </w:r>
    </w:p>
    <w:p>
      <w:pPr>
        <w:pStyle w:val="BodyText"/>
      </w:pPr>
      <w:r>
        <w:t xml:space="preserve">Grey literature will also be searched via ProQuest, OpenGrey and Web of Science Conference Proceedings Citation Index, while theses were accessed using the Open Access Theses and Dissertations portal. We will also search bioRxiv and medRxiv, preprint repositories using a tool built as part of this thesis, to identify potentially relevant studies. Finally, the reference lists of included studies were searched by hand while studies citing included studies will be examined using Google Scholar (forward and reverse citation searching).</w:t>
      </w:r>
    </w:p>
    <w:bookmarkEnd w:id="95"/>
    <w:bookmarkStart w:id="99" w:name="study-selection"/>
    <w:p>
      <w:pPr>
        <w:pStyle w:val="Heading3"/>
      </w:pPr>
      <w:r>
        <w:t xml:space="preserve">Study selection</w:t>
      </w:r>
    </w:p>
    <w:p>
      <w:pPr>
        <w:pStyle w:val="FirstParagraph"/>
      </w:pPr>
      <w:r>
        <w:t xml:space="preserve">Records were imported into Endnote and deduplicated using the method outlined in Bramer et al. (2016).</w:t>
      </w:r>
      <w:hyperlink w:anchor="ref-bramer2016">
        <w:r>
          <w:rPr>
            <w:rStyle w:val="Hyperlink"/>
            <w:vertAlign w:val="superscript"/>
          </w:rPr>
          <w:t xml:space="preserve">139</w:t>
        </w:r>
      </w:hyperlink>
      <w:r>
        <w:t xml:space="preserve"> </w:t>
      </w:r>
      <w:r>
        <w:t xml:space="preserve">In summary, this method uses multiple stages to identify potential duplicates, beginning with automatic deletion of records matching on multiple fields (</w:t>
      </w:r>
      <w:r>
        <w:t xml:space="preserve">“</w:t>
      </w:r>
      <w:r>
        <w:t xml:space="preserve">Author</w:t>
      </w:r>
      <w:r>
        <w:t xml:space="preserve">”</w:t>
      </w:r>
      <w:r>
        <w:t xml:space="preserve"> </w:t>
      </w:r>
      <w:r>
        <w:t xml:space="preserve">+</w:t>
      </w:r>
      <w:r>
        <w:t xml:space="preserve"> </w:t>
      </w:r>
      <w:r>
        <w:t xml:space="preserve">“</w:t>
      </w:r>
      <w:r>
        <w:t xml:space="preserve">Year</w:t>
      </w:r>
      <w:r>
        <w:t xml:space="preserve">”</w:t>
      </w:r>
      <w:r>
        <w:t xml:space="preserve"> </w:t>
      </w:r>
      <w:r>
        <w:t xml:space="preserve">+</w:t>
      </w:r>
      <w:r>
        <w:t xml:space="preserve"> </w:t>
      </w:r>
      <w:r>
        <w:t xml:space="preserve">“</w:t>
      </w:r>
      <w:r>
        <w:t xml:space="preserve">Title</w:t>
      </w:r>
      <w:r>
        <w:t xml:space="preserve">”</w:t>
      </w:r>
      <w:r>
        <w:t xml:space="preserve"> </w:t>
      </w:r>
      <w:r>
        <w:t xml:space="preserve">+</w:t>
      </w:r>
      <w:r>
        <w:t xml:space="preserve"> </w:t>
      </w:r>
      <w:r>
        <w:t xml:space="preserve">“</w:t>
      </w:r>
      <w:r>
        <w:t xml:space="preserve">Journal</w:t>
      </w:r>
      <w:r>
        <w:t xml:space="preserve">”</w:t>
      </w:r>
      <w:r>
        <w:t xml:space="preserve">), followed by manual review of less similar articles (e.g. those matched based on the</w:t>
      </w:r>
      <w:r>
        <w:t xml:space="preserve"> </w:t>
      </w:r>
      <w:r>
        <w:t xml:space="preserve">“</w:t>
      </w:r>
      <w:r>
        <w:t xml:space="preserve">Title</w:t>
      </w:r>
      <w:r>
        <w:t xml:space="preserve">”</w:t>
      </w:r>
      <w:r>
        <w:t xml:space="preserve"> </w:t>
      </w:r>
      <w:r>
        <w:t xml:space="preserve">field alone).</w:t>
      </w:r>
    </w:p>
    <w:p>
      <w:pPr>
        <w:pStyle w:val="BodyText"/>
      </w:pPr>
      <w:r>
        <w:t xml:space="preserve">Screening (both title/abstract and full-text) was performed using a combination of Endnote, a citation management tool,</w:t>
      </w:r>
      <w:hyperlink w:anchor="ref-hupe2019">
        <w:r>
          <w:rPr>
            <w:rStyle w:val="Hyperlink"/>
            <w:vertAlign w:val="superscript"/>
          </w:rPr>
          <w:t xml:space="preserve">140</w:t>
        </w:r>
      </w:hyperlink>
      <w:r>
        <w:t xml:space="preserve"> </w:t>
      </w:r>
      <w:r>
        <w:t xml:space="preserve">and Rayyan, a web-based screening application.</w:t>
      </w:r>
      <w:hyperlink w:anchor="ref-ouzzani2016">
        <w:r>
          <w:rPr>
            <w:rStyle w:val="Hyperlink"/>
            <w:vertAlign w:val="superscript"/>
          </w:rPr>
          <w:t xml:space="preserve">141</w:t>
        </w:r>
      </w:hyperlink>
      <w:r>
        <w:t xml:space="preserve"> </w:t>
      </w:r>
      <w:r>
        <w:t xml:space="preserve">Title and abstract screening to remove obviously irrelevant records was performed primarily by the primary author, with a random selection of excluded records being screened in duplicate to ensure consistency with the inclusion criteria.</w:t>
      </w:r>
    </w:p>
    <w:p>
      <w:pPr>
        <w:pStyle w:val="BodyText"/>
      </w:pPr>
      <w:r>
        <w:t xml:space="preserve">Full-text screening will also be completed in full by the primary author. A second reviewer screened a random sample (approx 10%) of included and excluded records, in addition to any records identified by the first reviewer as being difficult to assess against the inclusion criteria. Reasons for exclusion at this stage were recorded. Disagreements occurring during either stage of the screening process were resolved through discussion with a senior colleague. A PRIMSA flow diagram will be produced to document how records moved through the review.</w:t>
      </w:r>
      <w:hyperlink w:anchor="ref-zotero-766">
        <w:r>
          <w:rPr>
            <w:rStyle w:val="Hyperlink"/>
            <w:vertAlign w:val="superscript"/>
          </w:rPr>
          <w:t xml:space="preserve">142</w:t>
        </w:r>
      </w:hyperlink>
    </w:p>
    <w:bookmarkStart w:id="96" w:name="inclusion-criteria"/>
    <w:p>
      <w:pPr>
        <w:pStyle w:val="Heading4"/>
      </w:pPr>
      <w:r>
        <w:t xml:space="preserve">Inclusion criteria</w:t>
      </w:r>
    </w:p>
    <w:p>
      <w:pPr>
        <w:pStyle w:val="FirstParagraph"/>
      </w:pPr>
      <w:r>
        <w:t xml:space="preserve">We will seek studies that examine the relationship between blood lipid levels (or any specific lipid fraction, including total cholesterol, HDL, LDL, and triglycerides) and risk of incident dementia/MCI. Eligible study designs include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Participants were free (or assumed to be free) of dementia/MCI at baseline. Studies of any duration were included to allow for exploration of the effect of length of follow-up on the effect estimate using meta-regression. No limits will be placed on the sample size of included studies.</w:t>
      </w:r>
    </w:p>
    <w:p>
      <w:pPr>
        <w:pStyle w:val="BodyText"/>
      </w:pPr>
      <w:r>
        <w:t xml:space="preserve">Eligible studies defined dementia according to recognised criteria, for example the National Institute of Neurological Disorders and Stroke Association-Internationale pour la Recherche en l’Enseignement en Neurosciences (NINDS-AIREN), International Classification of Diseases (ICD), or Diagnostic and Statistical Manual of Mental Disorders (DSM) criteria.</w:t>
      </w:r>
      <w:r>
        <w:t xml:space="preserve"> </w:t>
      </w:r>
      <w:r>
        <w:t xml:space="preserve"> </w:t>
      </w:r>
      <w:r>
        <w:t xml:space="preserve">For MCI, eligible studies are those that attempted state a definition for diagnoses of MCI (e.g. an adapted version of the Petersen criteria)</w:t>
      </w:r>
      <w:hyperlink w:anchor="ref-petersen1999">
        <w:r>
          <w:rPr>
            <w:rStyle w:val="Hyperlink"/>
            <w:vertAlign w:val="superscript"/>
          </w:rPr>
          <w:t xml:space="preserve">143</w:t>
        </w:r>
      </w:hyperlink>
      <w:r>
        <w:t xml:space="preserve"> and create ordinal groups of patients (e.g. no dementia or dementia/MCI/dementia) based on this definition.</w:t>
      </w:r>
    </w:p>
    <w:p>
      <w:pPr>
        <w:pStyle w:val="BodyText"/>
      </w:pPr>
      <w:r>
        <w:t xml:space="preserve">No limitations will be imposed on publication status, publication date, venue or language, although sufficiently detailed reports of the studies to be able to examine their methods were required for inclusion.</w:t>
      </w:r>
    </w:p>
    <w:bookmarkEnd w:id="96"/>
    <w:bookmarkStart w:id="97" w:name="exclusion-criteria"/>
    <w:p>
      <w:pPr>
        <w:pStyle w:val="Heading4"/>
      </w:pPr>
      <w:r>
        <w:t xml:space="preserve">Exclusion criteria</w:t>
      </w:r>
    </w:p>
    <w:p>
      <w:pPr>
        <w:pStyle w:val="FirstParagraph"/>
      </w:pPr>
      <w:r>
        <w:t xml:space="preserve">Case-control studies, cross-sectional studies, qualitative studies, case reports/series and narrative reviews will be excluded. Studies which present no evidence of attempting to exclude prevalent cases from their analyses will also be excluded. Studies that measure change in continuous cognitive measures (e.g. MoCA score) without attempt to map these scores to ordinal groups (e.g. no dementia/MCI/dementia) will be excluded. Conference abstracts with no corresponding full-text publication will be examined, and we will contact authors to obtain information on the study’s status. Studies that are reported in insufficient detail (e.g. only in conference abstracts, new, letters, editorials and opinion) will be excluded. Previous systematic reviews will not be eligible, but their reference lists will be screened to identify any potentially relevant articles. 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the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will be excluded.</w:t>
      </w:r>
    </w:p>
    <w:p>
      <w:pPr>
        <w:pStyle w:val="BodyText"/>
      </w:pPr>
      <w:r>
        <w:t xml:space="preserve">Excluded studies performing autopsy unless it was done under accepted criteria Exclude studies using a dietary intervention, for example omega-3 fatty acid enriched diet, as it hard to disentangle the effect of other elements contained within te diet, vs simple tablet based supplements of</w:t>
      </w:r>
    </w:p>
    <w:p>
      <w:pPr>
        <w:pStyle w:val="BodyText"/>
      </w:pPr>
      <w:r>
        <w:t xml:space="preserve"> </w:t>
      </w:r>
    </w:p>
    <w:bookmarkEnd w:id="97"/>
    <w:bookmarkStart w:id="98" w:name="assessment-of-inter-rater-reliability"/>
    <w:p>
      <w:pPr>
        <w:pStyle w:val="Heading4"/>
      </w:pPr>
      <w:r>
        <w:t xml:space="preserve">Assessment of inter-rater reliability</w:t>
      </w:r>
    </w:p>
    <w:p>
      <w:pPr>
        <w:pStyle w:val="FirstParagraph"/>
      </w:pPr>
      <w:r>
        <w:t xml:space="preserve">Inter- and intra-rater reliability was assessed for a 10% sub-sample of records at the title and abstract screening stage. Intra-rater reliability involved a single reviewer applying the inclusion criteria to the same set of records while blinded to their previous decisions, while inter-rater reliability involved two reviewers independently screening the same set of records.</w:t>
      </w:r>
    </w:p>
    <w:p>
      <w:pPr>
        <w:pStyle w:val="BodyText"/>
      </w:pPr>
      <w:r>
        <w:t xml:space="preserve">If this approach demonstrates a significant level of erroneous exclusion by the primary author a larger proportion will be dual-screened.</w:t>
      </w:r>
    </w:p>
    <w:p>
      <w:pPr>
        <w:pStyle w:val="BodyText"/>
      </w:pPr>
      <w:r>
        <w:t xml:space="preserve">Rater reliability was assessed using Gwet’s agreement coefficient (AC1).</w:t>
      </w:r>
      <w:hyperlink w:anchor="ref-gwet2008">
        <w:r>
          <w:rPr>
            <w:rStyle w:val="Hyperlink"/>
            <w:vertAlign w:val="superscript"/>
          </w:rPr>
          <w:t xml:space="preserve">144</w:t>
        </w:r>
      </w:hyperlink>
      <w:r>
        <w:t xml:space="preserve"> </w:t>
      </w:r>
      <w:r>
        <w:t xml:space="preserve">This measure of inter-rater reliability was chosen over other methods of assessing inter-rater reliability such as percent agreement (number of agreements divided by total number of assessments), as it accounts for chance agreement between reviewers but does not suffer from bias due to severely imbalanced marginal totals in the same way that Cohen’s</w:t>
      </w:r>
      <w:r>
        <w:t xml:space="preserve"> </w:t>
      </w:r>
      <m:oMath>
        <m:r>
          <m:t>k</m:t>
        </m:r>
        <m:r>
          <m:t>a</m:t>
        </m:r>
        <m:r>
          <m:t>p</m:t>
        </m:r>
        <m:r>
          <m:t>p</m:t>
        </m:r>
        <m:r>
          <m:t>a</m:t>
        </m:r>
      </m:oMath>
      <w:r>
        <w:t xml:space="preserve"> </w:t>
      </w:r>
      <w:r>
        <w:t xml:space="preserve">value does.</w:t>
      </w:r>
      <w:hyperlink w:anchor="ref-gwet2008">
        <w:r>
          <w:rPr>
            <w:rStyle w:val="Hyperlink"/>
            <w:vertAlign w:val="superscript"/>
          </w:rPr>
          <w:t xml:space="preserve">144</w:t>
        </w:r>
      </w:hyperlink>
      <w:r>
        <w:t xml:space="preserve"> </w:t>
      </w:r>
      <w:r>
        <w:t xml:space="preserve">Given the small number of included studies in this review, this is an important characteristic.</w:t>
      </w:r>
    </w:p>
    <w:p>
      <w:pPr>
        <w:pStyle w:val="BodyText"/>
      </w:pPr>
      <w:r>
        <w:t xml:space="preserve">Gwet’s AC1 is defined as:</w:t>
      </w:r>
    </w:p>
    <w:p>
      <w:pPr>
        <w:pStyle w:val="BodyText"/>
      </w:pPr>
      <m:oMathPara>
        <m:oMathParaPr>
          <m:jc m:val="center"/>
        </m:oMathParaPr>
        <m:oMath>
          <m:r>
            <m:t>A</m:t>
          </m:r>
          <m:r>
            <m:t>C</m:t>
          </m:r>
          <m:r>
            <m:t>1</m:t>
          </m:r>
          <m:r>
            <m:rPr>
              <m:sty m:val="p"/>
            </m:rPr>
            <m:t>=</m:t>
          </m:r>
          <m:f>
            <m:fPr>
              <m:type m:val="bar"/>
            </m:fPr>
            <m:num>
              <m:r>
                <m:t>o</m:t>
              </m:r>
              <m:r>
                <m:t>b</m:t>
              </m:r>
              <m:r>
                <m:t>s</m:t>
              </m:r>
              <m:r>
                <m:t>e</m:t>
              </m:r>
              <m:r>
                <m:t>r</m:t>
              </m:r>
              <m:r>
                <m:t>v</m:t>
              </m:r>
              <m:r>
                <m:t>e</m:t>
              </m:r>
              <m:r>
                <m:t>d</m:t>
              </m:r>
              <m:r>
                <m:t> </m:t>
              </m:r>
              <m:r>
                <m:t>a</m:t>
              </m:r>
              <m:r>
                <m:t>g</m:t>
              </m:r>
              <m:r>
                <m:t>r</m:t>
              </m:r>
              <m:r>
                <m:t>e</m:t>
              </m:r>
              <m:r>
                <m:t>e</m:t>
              </m:r>
              <m:r>
                <m:t>m</m:t>
              </m:r>
              <m:r>
                <m:t>e</m:t>
              </m:r>
              <m:r>
                <m:t>n</m:t>
              </m:r>
              <m:r>
                <m:t>t</m:t>
              </m:r>
              <m:r>
                <m:rPr>
                  <m:sty m:val="p"/>
                </m:rPr>
                <m:t>−</m:t>
              </m:r>
              <m:r>
                <m:t>c</m:t>
              </m:r>
              <m:r>
                <m:t>h</m:t>
              </m:r>
              <m:r>
                <m:t>a</m:t>
              </m:r>
              <m:r>
                <m:t>n</m:t>
              </m:r>
              <m:r>
                <m:t>c</m:t>
              </m:r>
              <m:r>
                <m:t>e</m:t>
              </m:r>
              <m:r>
                <m:t> </m:t>
              </m:r>
              <m:r>
                <m:t>a</m:t>
              </m:r>
              <m:r>
                <m:t>g</m:t>
              </m:r>
              <m:r>
                <m:t>r</m:t>
              </m:r>
              <m:r>
                <m:t>e</m:t>
              </m:r>
              <m:r>
                <m:t>e</m:t>
              </m:r>
              <m:r>
                <m:t>m</m:t>
              </m:r>
              <m:r>
                <m:t>e</m:t>
              </m:r>
              <m:r>
                <m:t>n</m:t>
              </m:r>
              <m:r>
                <m:t>t</m:t>
              </m:r>
            </m:num>
            <m:den>
              <m:r>
                <m:t>1</m:t>
              </m:r>
              <m:r>
                <m:rPr>
                  <m:sty m:val="p"/>
                </m:rPr>
                <m:t>−</m:t>
              </m:r>
              <m:r>
                <m:t>c</m:t>
              </m:r>
              <m:r>
                <m:t>h</m:t>
              </m:r>
              <m:r>
                <m:t>a</m:t>
              </m:r>
              <m:r>
                <m:t>n</m:t>
              </m:r>
              <m:r>
                <m:t>c</m:t>
              </m:r>
              <m:r>
                <m:t>e</m:t>
              </m:r>
              <m:r>
                <m:t> </m:t>
              </m:r>
              <m:r>
                <m:t>a</m:t>
              </m:r>
              <m:r>
                <m:t>g</m:t>
              </m:r>
              <m:r>
                <m:t>r</m:t>
              </m:r>
              <m:r>
                <m:t>e</m:t>
              </m:r>
              <m:r>
                <m:t>e</m:t>
              </m:r>
              <m:r>
                <m:t>m</m:t>
              </m:r>
              <m:r>
                <m:t>e</m:t>
              </m:r>
              <m:r>
                <m:t>n</m:t>
              </m:r>
              <m:r>
                <m:t>t</m:t>
              </m:r>
            </m:den>
          </m:f>
        </m:oMath>
      </m:oMathPara>
    </w:p>
    <w:p>
      <w:pPr>
        <w:pStyle w:val="FirstParagraph"/>
      </w:pPr>
      <w:r>
        <w:t xml:space="preserve">In reference to a two-by-two table with cells A, B, C and D, it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oMath>
      </m:oMathPara>
    </w:p>
    <w:p>
      <w:pPr>
        <w:pStyle w:val="FirstParagraph"/>
      </w:pPr>
      <w:r>
        <w:t xml:space="preserve">How to interpret agreement co-efficients is widely debated, and while arbitary cut-off values may mislead,</w:t>
      </w:r>
      <w:hyperlink w:anchor="ref-brennan1992">
        <w:r>
          <w:rPr>
            <w:rStyle w:val="Hyperlink"/>
            <w:vertAlign w:val="superscript"/>
          </w:rPr>
          <w:t xml:space="preserve">147</w:t>
        </w:r>
      </w:hyperlink>
      <w:r>
        <w:t xml:space="preserve"> </w:t>
      </w:r>
      <w:r>
        <w:t xml:space="preserve">they provide a useful rubric by which to assess inter-rater agreement. Here, I used guidelines based on a stricter interpretation of the Cohen’s</w:t>
      </w:r>
      <w:r>
        <w:t xml:space="preserve"> </w:t>
      </w:r>
      <m:oMath>
        <m:r>
          <m:t>k</m:t>
        </m:r>
        <m:r>
          <m:t>a</m:t>
        </m:r>
        <m:r>
          <m:t>p</m:t>
        </m:r>
        <m:r>
          <m:t>p</m:t>
        </m:r>
        <m:r>
          <m:t>a</m:t>
        </m:r>
      </m:oMath>
      <w:r>
        <w:t xml:space="preserve"> </w:t>
      </w:r>
      <w:r>
        <w:t xml:space="preserve">coefficient,</w:t>
      </w:r>
      <w:hyperlink w:anchor="ref-mchugh2012">
        <w:r>
          <w:rPr>
            <w:rStyle w:val="Hyperlink"/>
            <w:vertAlign w:val="superscript"/>
          </w:rPr>
          <w:t xml:space="preserve">148</w:t>
        </w:r>
      </w:hyperlink>
      <w:r>
        <w:t xml:space="preserve"> </w:t>
      </w:r>
      <w:r>
        <w:t xml:space="preserve">presented in Table</w:t>
      </w:r>
      <w:r>
        <w:t xml:space="preserve"> </w:t>
      </w:r>
      <w:r>
        <w:t xml:space="preserve">7</w:t>
      </w:r>
      <w:r>
        <w:t xml:space="preserve">.</w:t>
      </w:r>
    </w:p>
    <w:p>
      <w:pPr>
        <w:pStyle w:val="BodyText"/>
      </w:pPr>
      <w:r>
        <w:t xml:space="preserve"> </w:t>
      </w:r>
    </w:p>
    <w:p>
      <w:pPr>
        <w:pStyle w:val="TableCaption"/>
      </w:pPr>
      <w:r>
        <w:t xml:space="preserve">Table 7: Suggested ranges to aid in interpretation of Gwet’s AC1 inter-rater reliability metric</w:t>
      </w:r>
    </w:p>
    <w:tbl>
      <w:tblPr>
        <w:tblStyle w:val="Table"/>
        <w:tblW w:type="pct" w:w="0.0"/>
        <w:tblLook w:firstRow="1" w:lastRow="0" w:firstColumn="0" w:lastColumn="0" w:noHBand="0" w:noVBand="0" w:val="0020"/>
        <w:tblCaption w:val="Table 7: Suggested ranges to aid in interpretation of Gwet’s AC1 inter-rater reliability metric"/>
      </w:tblPr>
      <w:tblGrid/>
      <w:tr>
        <w:tc>
          <w:p>
            <w:pPr>
              <w:pStyle w:val="Compact"/>
              <w:jc w:val="left"/>
            </w:pPr>
            <w:r>
              <w:t xml:space="preserve">Kappa</w:t>
            </w:r>
          </w:p>
        </w:tc>
        <w:tc>
          <w:p>
            <w:pPr>
              <w:pStyle w:val="Compact"/>
              <w:jc w:val="left"/>
            </w:pPr>
            <w:r>
              <w:t xml:space="preserve">Interpretation</w:t>
            </w:r>
          </w:p>
        </w:tc>
      </w:tr>
      <w:tr>
        <w:tc>
          <w:p>
            <w:pPr>
              <w:pStyle w:val="Compact"/>
              <w:jc w:val="left"/>
            </w:pPr>
            <w:r>
              <w:t xml:space="preserve">0 – 0.20</w:t>
            </w:r>
          </w:p>
        </w:tc>
        <w:tc>
          <w:p>
            <w:pPr>
              <w:pStyle w:val="Compact"/>
              <w:jc w:val="left"/>
            </w:pPr>
            <w:r>
              <w:t xml:space="preserve">None</w:t>
            </w:r>
          </w:p>
        </w:tc>
      </w:tr>
      <w:tr>
        <w:tc>
          <w:p>
            <w:pPr>
              <w:pStyle w:val="Compact"/>
              <w:jc w:val="left"/>
            </w:pPr>
            <w:r>
              <w:t xml:space="preserve">0.21 – 0.39</w:t>
            </w:r>
          </w:p>
        </w:tc>
        <w:tc>
          <w:p>
            <w:pPr>
              <w:pStyle w:val="Compact"/>
              <w:jc w:val="left"/>
            </w:pPr>
            <w:r>
              <w:t xml:space="preserve">Minimal</w:t>
            </w:r>
          </w:p>
        </w:tc>
      </w:tr>
      <w:tr>
        <w:tc>
          <w:p>
            <w:pPr>
              <w:pStyle w:val="Compact"/>
              <w:jc w:val="left"/>
            </w:pPr>
            <w:r>
              <w:t xml:space="preserve">0.40 – 0.59</w:t>
            </w:r>
          </w:p>
        </w:tc>
        <w:tc>
          <w:p>
            <w:pPr>
              <w:pStyle w:val="Compact"/>
              <w:jc w:val="left"/>
            </w:pPr>
            <w:r>
              <w:t xml:space="preserve">Weak</w:t>
            </w:r>
          </w:p>
        </w:tc>
      </w:tr>
      <w:tr>
        <w:tc>
          <w:p>
            <w:pPr>
              <w:pStyle w:val="Compact"/>
              <w:jc w:val="left"/>
            </w:pPr>
            <w:r>
              <w:t xml:space="preserve">0.60 – 0.79</w:t>
            </w:r>
          </w:p>
        </w:tc>
        <w:tc>
          <w:p>
            <w:pPr>
              <w:pStyle w:val="Compact"/>
              <w:jc w:val="left"/>
            </w:pPr>
            <w:r>
              <w:t xml:space="preserve">Moderate</w:t>
            </w:r>
          </w:p>
        </w:tc>
      </w:tr>
      <w:tr>
        <w:tc>
          <w:p>
            <w:pPr>
              <w:pStyle w:val="Compact"/>
              <w:jc w:val="left"/>
            </w:pPr>
            <w:r>
              <w:t xml:space="preserve">0.80 – 0.90</w:t>
            </w:r>
          </w:p>
        </w:tc>
        <w:tc>
          <w:p>
            <w:pPr>
              <w:pStyle w:val="Compact"/>
              <w:jc w:val="left"/>
            </w:pPr>
            <w:r>
              <w:t xml:space="preserve">Strong</w:t>
            </w:r>
          </w:p>
        </w:tc>
      </w:tr>
      <w:tr>
        <w:tc>
          <w:p>
            <w:pPr>
              <w:pStyle w:val="Compact"/>
              <w:jc w:val="left"/>
            </w:pPr>
            <w:r>
              <w:t xml:space="preserve">&gt; 0.90</w:t>
            </w:r>
          </w:p>
        </w:tc>
        <w:tc>
          <w:p>
            <w:pPr>
              <w:pStyle w:val="Compact"/>
              <w:jc w:val="left"/>
            </w:pPr>
            <w:r>
              <w:t xml:space="preserve">Almost perfect</w:t>
            </w:r>
          </w:p>
        </w:tc>
      </w:tr>
    </w:tbl>
    <w:p>
      <w:pPr>
        <w:pStyle w:val="BodyText"/>
      </w:pPr>
      <w:r>
        <w:t xml:space="preserve"> </w:t>
      </w:r>
    </w:p>
    <w:bookmarkEnd w:id="98"/>
    <w:bookmarkEnd w:id="99"/>
    <w:bookmarkStart w:id="100" w:name="data-extraction"/>
    <w:p>
      <w:pPr>
        <w:pStyle w:val="Heading3"/>
      </w:pPr>
      <w:r>
        <w:t xml:space="preserve">Data extraction</w:t>
      </w:r>
    </w:p>
    <w:p>
      <w:pPr>
        <w:pStyle w:val="FirstParagraph"/>
      </w:pPr>
      <w:r>
        <w:t xml:space="preserve">Harmonization of cholesterol measures across studies was performed, as different studies used different methods to quantify exposure, including comparing differing risks in the highest vs lowest quartiles of a lipid, using a binary classification of patients into a hypercholesterolaemia or not, categorizing lipid levels into high, middle, and low groups according to study-defined criteria, and simply treating the exposure as a continuous variable.</w:t>
      </w:r>
    </w:p>
    <w:p>
      <w:pPr>
        <w:pStyle w:val="BodyText"/>
      </w:pPr>
      <w:r>
        <w:t xml:space="preserve">Following guidance for a dose response meta-analysis, I picked midpoint for all studies where bands were provided (extremely common in the case of lipids)</w:t>
      </w:r>
    </w:p>
    <w:p>
      <w:pPr>
        <w:pStyle w:val="BodyText"/>
      </w:pPr>
      <w:r>
        <w:t xml:space="preserve">This analysis was unusual, as multiple methods of integration and analysis were required with data spanning many forms.</w:t>
      </w:r>
    </w:p>
    <w:p>
      <w:pPr>
        <w:pStyle w:val="BodyText"/>
      </w:pPr>
      <w:r>
        <w:t xml:space="preserve">A piloted data extraction for was used. I extracted the data in the first instance and subset was checked by a colleague for accuracy.</w:t>
      </w:r>
    </w:p>
    <w:p>
      <w:pPr>
        <w:pStyle w:val="BodyText"/>
      </w:pPr>
      <w:r>
        <w:t xml:space="preserve">Where necessary, lipid levels reported in</w:t>
      </w:r>
      <w:r>
        <w:t xml:space="preserve"> </w:t>
      </w:r>
      <w:r>
        <w:rPr>
          <w:iCs/>
          <w:i/>
        </w:rPr>
        <w:t xml:space="preserve">mmol/L</w:t>
      </w:r>
      <w:r>
        <w:t xml:space="preserve"> </w:t>
      </w:r>
      <w:r>
        <w:t xml:space="preserve">were converted in</w:t>
      </w:r>
      <w:r>
        <w:t xml:space="preserve"> </w:t>
      </w:r>
      <w:r>
        <w:rPr>
          <w:iCs/>
          <w:i/>
        </w:rPr>
        <w:t xml:space="preserve">mg/dL</w:t>
      </w:r>
      <w:r>
        <w:t xml:space="preserve"> </w:t>
      </w:r>
      <w:r>
        <w:t xml:space="preserve">using the following formula:</w:t>
      </w:r>
    </w:p>
    <w:p>
      <w:pPr>
        <w:pStyle w:val="BodyText"/>
      </w:pPr>
      <m:oMathPara>
        <m:oMathParaPr>
          <m:jc m:val="center"/>
        </m:oMathParaPr>
        <m:oMath>
          <m:r>
            <m:t>m</m:t>
          </m:r>
          <m:r>
            <m:t>g</m:t>
          </m:r>
          <m:r>
            <m:rPr>
              <m:sty m:val="p"/>
            </m:rPr>
            <m:t>/</m:t>
          </m:r>
          <m:r>
            <m:t>d</m:t>
          </m:r>
          <m:r>
            <m:t>L</m:t>
          </m:r>
          <m:r>
            <m:rPr>
              <m:sty m:val="p"/>
            </m:rPr>
            <m:t>=</m:t>
          </m:r>
          <m:r>
            <m:t>m</m:t>
          </m:r>
          <m:r>
            <m:t>m</m:t>
          </m:r>
          <m:r>
            <m:t>o</m:t>
          </m:r>
          <m:r>
            <m:t>l</m:t>
          </m:r>
          <m:r>
            <m:rPr>
              <m:sty m:val="p"/>
            </m:rPr>
            <m:t>/</m:t>
          </m:r>
          <m:r>
            <m:t>L</m:t>
          </m:r>
          <m:r>
            <m:rPr>
              <m:sty m:val="p"/>
            </m:rPr>
            <m:t>×</m:t>
          </m:r>
          <m:r>
            <m:t>​</m:t>
          </m:r>
          <m:r>
            <m:t>Z</m:t>
          </m:r>
        </m:oMath>
      </m:oMathPara>
    </w:p>
    <w:p>
      <w:pPr>
        <w:pStyle w:val="FirstParagraph"/>
      </w:pPr>
      <w:r>
        <w:t xml:space="preserve">where</w:t>
      </w:r>
      <w:r>
        <w:t xml:space="preserve"> </w:t>
      </w:r>
      <m:oMath>
        <m:r>
          <m:t>Z</m:t>
        </m:r>
        <m:r>
          <m:rPr>
            <m:sty m:val="p"/>
          </m:rPr>
          <m:t>=</m:t>
        </m:r>
        <m:r>
          <m:t>38.67</m:t>
        </m:r>
      </m:oMath>
      <w:r>
        <w:t xml:space="preserve"> </w:t>
      </w:r>
      <w:r>
        <w:t xml:space="preserve">for total cholesterol, LDL-c and HDL-c, and</w:t>
      </w:r>
      <w:r>
        <w:t xml:space="preserve"> </w:t>
      </w:r>
      <m:oMath>
        <m:r>
          <m:t>Z</m:t>
        </m:r>
        <m:r>
          <m:rPr>
            <m:sty m:val="p"/>
          </m:rPr>
          <m:t>=</m:t>
        </m:r>
        <m:r>
          <m:t>88.57</m:t>
        </m:r>
      </m:oMath>
      <w:r>
        <w:t xml:space="preserve"> </w:t>
      </w:r>
      <w:r>
        <w:t xml:space="preserve">for triglycerides. For widely-used categorises of lipids levels on the</w:t>
      </w:r>
      <w:r>
        <w:t xml:space="preserve"> </w:t>
      </w:r>
      <w:r>
        <w:rPr>
          <w:iCs/>
          <w:i/>
        </w:rPr>
        <w:t xml:space="preserve">mg/dL</w:t>
      </w:r>
      <w:r>
        <w:t xml:space="preserve"> </w:t>
      </w:r>
      <w:r>
        <w:t xml:space="preserve">scale, see Table</w:t>
      </w:r>
      <w:r>
        <w:t xml:space="preserve"> </w:t>
      </w:r>
      <w:r>
        <w:t xml:space="preserve">2</w:t>
      </w:r>
      <w:r>
        <w:t xml:space="preserve"> </w:t>
      </w:r>
      <w:r>
        <w:t xml:space="preserve">in Section</w:t>
      </w:r>
      <w:r>
        <w:t xml:space="preserve"> </w:t>
      </w:r>
      <w:r>
        <w:t xml:space="preserve">2.4.1</w:t>
      </w:r>
      <w:r>
        <w:t xml:space="preserve">.</w:t>
      </w:r>
    </w:p>
    <w:bookmarkEnd w:id="100"/>
    <w:bookmarkStart w:id="104" w:name="risk-of-bias"/>
    <w:p>
      <w:pPr>
        <w:pStyle w:val="Heading3"/>
      </w:pPr>
      <w:r>
        <w:t xml:space="preserve">Risk of bias assessment</w:t>
      </w:r>
    </w:p>
    <w:p>
      <w:pPr>
        <w:pStyle w:val="FirstParagraph"/>
      </w:pPr>
      <w:r>
        <w:t xml:space="preserve">A key use of the review presented in this chapter is to identify different sources of evidence at risk of a diverse range of biases, and to contrast and compare findings across them (see Section</w:t>
      </w:r>
      <w:r>
        <w:t xml:space="preserve"> </w:t>
      </w:r>
      <w:r>
        <w:t xml:space="preserve">2.6.2</w:t>
      </w:r>
      <w:r>
        <w:t xml:space="preserve"> </w:t>
      </w:r>
      <w:r>
        <w:t xml:space="preserve">and Section</w:t>
      </w:r>
      <w:r>
        <w:t xml:space="preserve"> </w:t>
      </w:r>
      <w:r>
        <w:t xml:space="preserve">7.1.1</w:t>
      </w:r>
      <w:r>
        <w:t xml:space="preserve"> </w:t>
      </w:r>
      <w:r>
        <w:t xml:space="preserve">for an overview of triangulation). To enable this triangulation exercise, a detailed and structured risk of bias assessment formed an important part of this review.</w:t>
      </w:r>
    </w:p>
    <w:p>
      <w:pPr>
        <w:pStyle w:val="BodyText"/>
      </w:pPr>
      <w:r>
        <w:t xml:space="preserve">There has been a recent movement within the evidence synthesis community from examining</w:t>
      </w:r>
      <w:r>
        <w:t xml:space="preserve"> </w:t>
      </w:r>
      <w:r>
        <w:rPr>
          <w:iCs/>
          <w:i/>
        </w:rPr>
        <w:t xml:space="preserve">methodological quality</w:t>
      </w:r>
      <w:r>
        <w:t xml:space="preserve"> </w:t>
      </w:r>
      <w:r>
        <w:t xml:space="preserve">to assessing</w:t>
      </w:r>
      <w:r>
        <w:t xml:space="preserve"> </w:t>
      </w:r>
      <w:r>
        <w:rPr>
          <w:iCs/>
          <w:i/>
        </w:rPr>
        <w:t xml:space="preserve">risk of bias</w:t>
      </w:r>
      <w:r>
        <w:t xml:space="preserve">,</w:t>
      </w:r>
      <w:hyperlink w:anchor="ref-mcguinness2018a">
        <w:r>
          <w:rPr>
            <w:rStyle w:val="Hyperlink"/>
            <w:vertAlign w:val="superscript"/>
          </w:rPr>
          <w:t xml:space="preserve">149</w:t>
        </w:r>
      </w:hyperlink>
      <w:r>
        <w:rPr>
          <w:vertAlign w:val="superscript"/>
        </w:rPr>
        <w:t xml:space="preserve">,</w:t>
      </w:r>
      <w:hyperlink w:anchor="ref-sterne2016">
        <w:r>
          <w:rPr>
            <w:rStyle w:val="Hyperlink"/>
            <w:vertAlign w:val="superscript"/>
          </w:rPr>
          <w:t xml:space="preserve">150</w:t>
        </w:r>
      </w:hyperlink>
      <w:r>
        <w:t xml:space="preserve"> </w:t>
      </w:r>
      <w:r>
        <w:t xml:space="preserve">and thus directly evaluating the internal validity of a study. Internal validity is defined here as the absence of systematic error (or bias) in a study, which may influence its results.</w:t>
      </w:r>
      <w:hyperlink w:anchor="ref-campbell1957">
        <w:r>
          <w:rPr>
            <w:rStyle w:val="Hyperlink"/>
            <w:vertAlign w:val="superscript"/>
          </w:rPr>
          <w:t xml:space="preserve">151</w:t>
        </w:r>
      </w:hyperlink>
      <w:r>
        <w:rPr>
          <w:vertAlign w:val="superscript"/>
        </w:rPr>
        <w:t xml:space="preserve">,</w:t>
      </w:r>
      <w:hyperlink w:anchor="ref-juni2001">
        <w:r>
          <w:rPr>
            <w:rStyle w:val="Hyperlink"/>
            <w:vertAlign w:val="superscript"/>
          </w:rPr>
          <w:t xml:space="preserve">152</w:t>
        </w:r>
      </w:hyperlink>
    </w:p>
    <w:p>
      <w:pPr>
        <w:pStyle w:val="BodyText"/>
      </w:pPr>
      <w:r>
        <w:t xml:space="preserve">This move was prompted by a unclear definition of</w:t>
      </w:r>
      <w:r>
        <w:t xml:space="preserve"> </w:t>
      </w:r>
      <w:r>
        <w:t xml:space="preserve">“</w:t>
      </w:r>
      <w:r>
        <w:t xml:space="preserve">methodological quality</w:t>
      </w:r>
      <w:r>
        <w:t xml:space="preserve">”</w:t>
      </w:r>
      <w:r>
        <w:t xml:space="preserve"> </w:t>
      </w:r>
      <w:r>
        <w:t xml:space="preserve">which could include facets such as, and challenges in the comparison of results from different tools.</w:t>
      </w:r>
    </w:p>
    <w:p>
      <w:pPr>
        <w:pStyle w:val="BodyText"/>
      </w:pPr>
      <w:r>
        <w:t xml:space="preserve">As part of this, the community also moved from checklist or score based tools towards domain-based methods, in which different potential sources of bias in a study are assessed in order.</w:t>
      </w:r>
    </w:p>
    <w:p>
      <w:pPr>
        <w:pStyle w:val="BodyText"/>
      </w:pPr>
      <w:r>
        <w:t xml:space="preserve">Additionally, results should be assessed at the result (defined as a a specific outcome at a specific timepoint) rather than the study level. For example, a study may report on the efficacy of an intervention at 6 months and two years follow-up. missing outcome data that is not an issues at 6 months may introduce bias at 2 year follow-up. In this case, assigning a bias judgement to the study as a whole hides this differential biases for each result.</w:t>
      </w:r>
    </w:p>
    <w:p>
      <w:pPr>
        <w:pStyle w:val="BodyText"/>
      </w:pPr>
      <w:r>
        <w:t xml:space="preserve">In this review, domain-based tools were used to assess the risk of bias for each result in each included study. The study design-specific tools are introduced and discussed in more detail in the following sections.</w:t>
      </w:r>
    </w:p>
    <w:bookmarkStart w:id="101" w:name="randomised-controlled-trials-1"/>
    <w:p>
      <w:pPr>
        <w:pStyle w:val="Heading4"/>
      </w:pPr>
      <w:r>
        <w:t xml:space="preserve">Randomised controlled trials</w:t>
      </w:r>
    </w:p>
    <w:p>
      <w:pPr>
        <w:pStyle w:val="FirstParagraph"/>
      </w:pPr>
      <w:r>
        <w:t xml:space="preserve">Risk of bias assessment in randomised controlled trials was performed using the domain-based risk-of-bias assessment tool appropriate to the study design. Randomized controlled trials were assessed using the RoB2 tool,</w:t>
      </w:r>
      <w:hyperlink w:anchor="ref-sterne2019">
        <w:r>
          <w:rPr>
            <w:rStyle w:val="Hyperlink"/>
            <w:vertAlign w:val="superscript"/>
          </w:rPr>
          <w:t xml:space="preserve">153</w:t>
        </w:r>
      </w:hyperlink>
      <w:r>
        <w:t xml:space="preserve">,</w:t>
      </w:r>
      <w:r>
        <w:t xml:space="preserve"> </w:t>
      </w:r>
      <w:r>
        <w:t xml:space="preserve">The tool assess the risk of bias across five domains: Bias arising from the randomization process, Bias due to deviations from intended intervention, Bias due to missing outcome data, Bias in measurement of the outcome, Bias in selection of the reported result. Acceptable judgements include: low risk of bias, some concerns, high risk of bias. Each of the 5 domains contains a series of signalling questions or prompts, which guide the user through the tool.</w:t>
      </w:r>
    </w:p>
    <w:p>
      <w:pPr>
        <w:pStyle w:val="BodyText"/>
      </w:pPr>
      <w:r>
        <w:t xml:space="preserve">One a domain-level judgement for each domain has been assigned, an overall judgement, using the same three levels of risk of bias, is assigned to</w:t>
      </w:r>
    </w:p>
    <w:bookmarkEnd w:id="101"/>
    <w:bookmarkStart w:id="102" w:name="Xf513088a1d727e17747470e463abbbf95a6cdc7"/>
    <w:p>
      <w:pPr>
        <w:pStyle w:val="Heading4"/>
      </w:pPr>
      <w:r>
        <w:t xml:space="preserve">Non-randomised studies of interventions/exposures</w:t>
      </w:r>
    </w:p>
    <w:p>
      <w:pPr>
        <w:pStyle w:val="FirstParagraph"/>
      </w:pPr>
      <w:r>
        <w:t xml:space="preserve">For non-randomised studies of interventions (NRSI), I used the ROBINS-I (Risk of bias in non-randomised studies - of interventions)</w:t>
      </w:r>
      <w:r>
        <w:t xml:space="preserve"> </w:t>
      </w:r>
      <w:r>
        <w:t xml:space="preserve"> </w:t>
      </w:r>
      <w:r>
        <w:t xml:space="preserve">tool.</w:t>
      </w:r>
      <w:hyperlink w:anchor="ref-sterne2016">
        <w:r>
          <w:rPr>
            <w:rStyle w:val="Hyperlink"/>
            <w:vertAlign w:val="superscript"/>
          </w:rPr>
          <w:t xml:space="preserve">150</w:t>
        </w:r>
      </w:hyperlink>
      <w:r>
        <w:t xml:space="preserve"> </w:t>
      </w:r>
      <w:r>
        <w:t xml:space="preserve">This tool assess the risk of bias across seven domains: Bias due to confounding, Bias due to selection of participants, Bias in classification of interventions, Bias due to deviations from intended interventions, Bias due to missing data, Bias in measurement of outcomes, and Bias in selection of the reported result. Similar to the RoB 2, it has a number of prompting questions per domain, with judgements including. Ideally, obs studies assessed in reference to an idealised randomised controlled trial. Further, the rare overall judgement of Low should be considered equivalent to a randomised controlled trial.</w:t>
      </w:r>
    </w:p>
    <w:p>
      <w:pPr>
        <w:pStyle w:val="BodyText"/>
      </w:pPr>
      <w:r>
        <w:t xml:space="preserve">For non-randomised studies of exposures (NRSE), I opted to use a preliminary version of the ROBINS-E tool, despite it still being in development.</w:t>
      </w:r>
      <w:hyperlink w:anchor="ref-morganr2020">
        <w:r>
          <w:rPr>
            <w:rStyle w:val="Hyperlink"/>
            <w:vertAlign w:val="superscript"/>
          </w:rPr>
          <w:t xml:space="preserve">154</w:t>
        </w:r>
      </w:hyperlink>
      <w:r>
        <w:t xml:space="preserve"> </w:t>
      </w:r>
      <w:r>
        <w:t xml:space="preserve">While the signalling questions for each domain are yet to be confirmed, the overarching domains have been finalised.</w:t>
      </w:r>
    </w:p>
    <w:p>
      <w:pPr>
        <w:pStyle w:val="BodyText"/>
      </w:pPr>
      <w:r>
        <w:t xml:space="preserve">Despite these limitations, I chose this approach in place of other existing published tools such as the Newcastle-Ottowa scale (NOS).</w:t>
      </w:r>
      <w:hyperlink w:anchor="ref-wells2000newcastle">
        <w:r>
          <w:rPr>
            <w:rStyle w:val="Hyperlink"/>
            <w:vertAlign w:val="superscript"/>
          </w:rPr>
          <w:t xml:space="preserve">155</w:t>
        </w:r>
      </w:hyperlink>
      <w:r>
        <w:t xml:space="preserve"> </w:t>
      </w:r>
      <w:r>
        <w:t xml:space="preserve">The motivation for this decision was two-fold. In the first instance, as mentioned in the introduction to this section, using a domain-based tool has distinct advantages over better-developed checklist-type tools such as the NOS. In addition, using a domain-based tool enabled better comparison with risk-of-bias assessments performed for the other study designs.</w:t>
      </w:r>
    </w:p>
    <w:bookmarkEnd w:id="102"/>
    <w:bookmarkStart w:id="103" w:name="mendelian-randomisation-studies"/>
    <w:p>
      <w:pPr>
        <w:pStyle w:val="Heading4"/>
      </w:pPr>
      <w:r>
        <w:t xml:space="preserve">Mendelian randomisation studies</w:t>
      </w:r>
    </w:p>
    <w:p>
      <w:pPr>
        <w:pStyle w:val="FirstParagraph"/>
      </w:pPr>
      <w:r>
        <w:t xml:space="preserve">At present, no risk-of-bias assessment tool for Mendelian randomization studies is available. Assessment of the risk of bias in Mendelian randomisation studies was informed by the approach used in a previous systematic review of Mendelian randomisation,</w:t>
      </w:r>
      <w:hyperlink w:anchor="ref-mamluk2020">
        <w:r>
          <w:rPr>
            <w:rStyle w:val="Hyperlink"/>
            <w:vertAlign w:val="superscript"/>
          </w:rPr>
          <w:t xml:space="preserve">156</w:t>
        </w:r>
      </w:hyperlink>
      <w:r>
        <w:t xml:space="preserve"> </w:t>
      </w:r>
      <w:r>
        <w:t xml:space="preserve">as identified by a review of risk of bias assessments in systematic reviews of MR studies. A copy of this tool is available in Appendix</w:t>
      </w:r>
      <w:r>
        <w:t xml:space="preserve"> </w:t>
      </w:r>
      <w:r>
        <w:t xml:space="preserve">9.2.4</w:t>
      </w:r>
      <w:r>
        <w:t xml:space="preserve">. Advance results from this review of bias assessment in MR studies were obtained from contact with the authors.</w:t>
      </w:r>
    </w:p>
    <w:bookmarkEnd w:id="103"/>
    <w:bookmarkEnd w:id="104"/>
    <w:bookmarkStart w:id="105" w:name="studification"/>
    <w:p>
      <w:pPr>
        <w:pStyle w:val="Heading3"/>
      </w:pPr>
      <w:r>
        <w:t xml:space="preserve">Studification</w:t>
      </w:r>
    </w:p>
    <w:p>
      <w:pPr>
        <w:pStyle w:val="FirstParagraph"/>
      </w:pPr>
      <w:r>
        <w:t xml:space="preserve">Multiple publications resulting from the analysis of the same data will be included and grouped ().</w:t>
      </w:r>
    </w:p>
    <w:p>
      <w:pPr>
        <w:pStyle w:val="BodyText"/>
      </w:pPr>
      <w:r>
        <w:t xml:space="preserve">In the advent of multiple papers reporting results on the same cohort, but say, at different time points, I used a process of studifiction to build out the most comprehensive accounts of the studies and results from as many published articles were applicable.</w:t>
      </w:r>
    </w:p>
    <w:bookmarkEnd w:id="105"/>
    <w:bookmarkStart w:id="106" w:name="contacting-authors"/>
    <w:p>
      <w:pPr>
        <w:pStyle w:val="Heading3"/>
      </w:pPr>
      <w:r>
        <w:t xml:space="preserve">Following up with authors</w:t>
      </w:r>
    </w:p>
    <w:p>
      <w:pPr>
        <w:pStyle w:val="FirstParagraph"/>
      </w:pPr>
      <w:r>
        <w:t xml:space="preserve">Where data points required either for the analysis or risk-of-bias assessment but were not reported, the primary authors of the study were contacted. This approach was taken due to the potentially large impact of following up with authors on the results of the review,</w:t>
      </w:r>
      <w:hyperlink w:anchor="ref-reynders2019">
        <w:r>
          <w:rPr>
            <w:rStyle w:val="Hyperlink"/>
            <w:vertAlign w:val="superscript"/>
          </w:rPr>
          <w:t xml:space="preserve">157</w:t>
        </w:r>
      </w:hyperlink>
    </w:p>
    <w:p>
      <w:pPr>
        <w:pStyle w:val="BodyText"/>
      </w:pPr>
      <w:r>
        <w:t xml:space="preserve">This was particular important for the dose response meta-analysis, we</w:t>
      </w:r>
    </w:p>
    <w:p>
      <w:pPr>
        <w:pStyle w:val="BodyText"/>
      </w:pPr>
      <w:r>
        <w:t xml:space="preserve">Use the example of getting the cut-off points from the</w:t>
      </w:r>
    </w:p>
    <w:bookmarkEnd w:id="106"/>
    <w:bookmarkStart w:id="110" w:name="analysis-methods"/>
    <w:p>
      <w:pPr>
        <w:pStyle w:val="Heading3"/>
      </w:pPr>
      <w:r>
        <w:t xml:space="preserve">Analysis methods</w:t>
      </w:r>
    </w:p>
    <w:bookmarkStart w:id="107" w:name="standard-meta-analysis"/>
    <w:p>
      <w:pPr>
        <w:pStyle w:val="Heading4"/>
      </w:pPr>
      <w:r>
        <w:t xml:space="preserve">Standard meta-analysis</w:t>
      </w:r>
    </w:p>
    <w:p>
      <w:pPr>
        <w:pStyle w:val="FirstParagraph"/>
      </w:pPr>
      <w:r>
        <w:t xml:space="preserve">Meta-analysis is an important method of . . .</w:t>
      </w:r>
    </w:p>
    <w:p>
      <w:pPr>
        <w:pStyle w:val="BodyText"/>
      </w:pPr>
      <w:r>
        <w:t xml:space="preserve">Both a fixed-effect and random-effects meta-analysis model was.</w:t>
      </w:r>
    </w:p>
    <w:p>
      <w:pPr>
        <w:pStyle w:val="BodyText"/>
      </w:pPr>
      <w:r>
        <w:t xml:space="preserve">For</w:t>
      </w:r>
    </w:p>
    <w:p>
      <w:pPr>
        <w:pStyle w:val="BodyText"/>
      </w:pPr>
      <w:r>
        <w:t xml:space="preserve">Need formula here, and description of different methods and quarrels regarding disctinction fixed effect vs random effects meta-analyses.</w:t>
      </w:r>
    </w:p>
    <w:p>
      <w:pPr>
        <w:pStyle w:val="BodyText"/>
      </w:pPr>
      <w:r>
        <w:t xml:space="preserve">This analytical approach was used for</w:t>
      </w:r>
    </w:p>
    <w:bookmarkEnd w:id="107"/>
    <w:bookmarkStart w:id="108" w:name="dose-response-analyses"/>
    <w:p>
      <w:pPr>
        <w:pStyle w:val="Heading4"/>
      </w:pPr>
      <w:r>
        <w:t xml:space="preserve">Dose-response analyses</w:t>
      </w:r>
    </w:p>
    <w:p>
      <w:pPr>
        <w:pStyle w:val="FirstParagraph"/>
      </w:pPr>
      <w:r>
        <w:t xml:space="preserve">Several of the included studies presented data on multiple categories of lipid levels, but provided an overall effect estimate based on a comparison of only two of these categories (e.g. for example, highest vs lowest quartile).</w:t>
      </w:r>
      <w:r>
        <w:t xml:space="preserve"> </w:t>
      </w:r>
      <w:r>
        <w:t xml:space="preserve"> </w:t>
      </w:r>
      <w:r>
        <w:t xml:space="preserve">while this allows for easy interpretation of the resulting effect estimate, it ignores any potential non-linear relationships between the exposure and outcome, in addition to discarding useful information contain in the interim groups.</w:t>
      </w:r>
    </w:p>
    <w:p>
      <w:pPr>
        <w:pStyle w:val="BodyText"/>
      </w:pPr>
      <w:r>
        <w:t xml:space="preserve">Where possible, data for all exposure groups was extracted, and this. Studies were excluded from this analysis if the number of categories was less than three, if the exposure cut-off points for for each category were not presented (e.g. if the study reports splitting participants into quartiles and comparing the highest vs lowest without giving the quartile bands in mmol/L).</w:t>
      </w:r>
    </w:p>
    <w:p>
      <w:pPr>
        <w:pStyle w:val="BodyText"/>
      </w:pPr>
      <w:r>
        <w:t xml:space="preserve">A XXXX spline model was fitted to allow for a non-linear relationship, for example a U or J-shaped relationship, where low and high levels of an exposure can have an effect versus the</w:t>
      </w:r>
      <w:r>
        <w:t xml:space="preserve"> </w:t>
      </w:r>
      <w:r>
        <w:t xml:space="preserve">“</w:t>
      </w:r>
      <w:r>
        <w:t xml:space="preserve">normal</w:t>
      </w:r>
      <w:r>
        <w:t xml:space="preserve">”</w:t>
      </w:r>
      <w:r>
        <w:t xml:space="preserve"> </w:t>
      </w:r>
      <w:r>
        <w:t xml:space="preserve">reference dose. Reference doses were defined</w:t>
      </w:r>
      <w:r>
        <w:t xml:space="preserve"> </w:t>
      </w:r>
      <w:r>
        <w:rPr>
          <w:iCs/>
          <w:i/>
        </w:rPr>
        <w:t xml:space="preserve">a priori</w:t>
      </w:r>
      <w:r>
        <w:t xml:space="preserve"> </w:t>
      </w:r>
      <w:r>
        <w:t xml:space="preserve">as the cut-off of the</w:t>
      </w:r>
      <w:r>
        <w:t xml:space="preserve"> </w:t>
      </w:r>
      <w:r>
        <w:t xml:space="preserve">“</w:t>
      </w:r>
      <w:r>
        <w:t xml:space="preserve">Normal</w:t>
      </w:r>
      <w:r>
        <w:t xml:space="preserve">”</w:t>
      </w:r>
      <w:r>
        <w:t xml:space="preserve">/</w:t>
      </w:r>
      <w:r>
        <w:t xml:space="preserve">“</w:t>
      </w:r>
      <w:r>
        <w:t xml:space="preserve">Optimal</w:t>
      </w:r>
      <w:r>
        <w:t xml:space="preserve">”</w:t>
      </w:r>
      <w:r>
        <w:t xml:space="preserve"> </w:t>
      </w:r>
      <w:r>
        <w:t xml:space="preserve">categories for each fractions, as detailed in Table</w:t>
      </w:r>
      <w:r>
        <w:t xml:space="preserve"> </w:t>
      </w:r>
      <w:r>
        <w:t xml:space="preserve">2</w:t>
      </w:r>
      <w:r>
        <w:t xml:space="preserve">. Under this approach, the reference dose was defined as 200 mg/dL for total cholesterol, 100 mg/dL for LDL-c, 40 mg/dL for HDL-c, and 150 mg/dL for triglycerides.</w:t>
      </w:r>
    </w:p>
    <w:p>
      <w:pPr>
        <w:pStyle w:val="BodyText"/>
      </w:pPr>
      <w:r>
        <w:t xml:space="preserve">Due to the requirements for the dose response analysis, studies were excluded from this secondary analysis if they did not provide the require information: cut-off points. Where this was not reported in the study, I contacted the corresponding author to attempt to obtain the required information (see</w:t>
      </w:r>
      <w:r>
        <w:t xml:space="preserve"> </w:t>
      </w:r>
      <w:r>
        <w:t xml:space="preserve">4.3.7</w:t>
      </w:r>
      <w:r>
        <w:t xml:space="preserve">).</w:t>
      </w:r>
    </w:p>
    <w:p>
      <w:pPr>
        <w:pStyle w:val="BodyText"/>
      </w:pPr>
      <w:r>
        <w:t xml:space="preserve">When the highest category was open ended (e.g LDL-c</w:t>
      </w:r>
      <w:r>
        <w:t xml:space="preserve"> </w:t>
      </w:r>
      <m:oMath>
        <m:r>
          <m:rPr>
            <m:sty m:val="p"/>
          </m:rPr>
          <m:t>≥</m:t>
        </m:r>
      </m:oMath>
      <w:r>
        <w:t xml:space="preserve"> </w:t>
      </w:r>
      <w:r>
        <w:t xml:space="preserve">200 mg/dL), I calculated category midpoint by assuming the widht of the higest category was the same as the one immediately below it. Similarly, when, the lowest category was open-ended (e.g LDL-c</w:t>
      </w:r>
      <w:r>
        <w:t xml:space="preserve"> </w:t>
      </w:r>
      <m:oMath>
        <m:r>
          <m:rPr>
            <m:sty m:val="p"/>
          </m:rPr>
          <m:t>≤</m:t>
        </m:r>
      </m:oMath>
      <w:r>
        <w:t xml:space="preserve"> </w:t>
      </w:r>
      <w:r>
        <w:t xml:space="preserve">100 mg/dL), I set the lower boundary for this category to zero (though this is unlikely to occur natually, it was difficult to define).</w:t>
      </w:r>
    </w:p>
    <w:p>
      <w:pPr>
        <w:pStyle w:val="BodyText"/>
      </w:pPr>
      <w:r>
        <w:t xml:space="preserve">I assumed the width of the category to be the same as the adjacent category.</w:t>
      </w:r>
      <w:r>
        <w:t xml:space="preserve"> </w:t>
      </w:r>
      <w:r>
        <w:t xml:space="preserve">When the lowest category was open ended, I set the lower boundary to zero.</w:t>
      </w:r>
    </w:p>
    <w:bookmarkEnd w:id="108"/>
    <w:bookmarkStart w:id="109" w:name="sensitivity-analyses"/>
    <w:p>
      <w:pPr>
        <w:pStyle w:val="Heading4"/>
      </w:pPr>
      <w:r>
        <w:t xml:space="preserve">Sensitivity analyses</w:t>
      </w:r>
    </w:p>
    <w:p>
      <w:pPr>
        <w:pStyle w:val="FirstParagraph"/>
      </w:pPr>
      <w:r>
        <w:t xml:space="preserve">I conducted a leave one out analysis in order to explore the impact of any given study on the results.</w:t>
      </w:r>
      <w:r>
        <w:t xml:space="preserve"> </w:t>
      </w:r>
    </w:p>
    <w:p>
      <w:pPr>
        <w:pStyle w:val="BodyText"/>
      </w:pPr>
      <w:r>
        <w:t xml:space="preserve">In addition,</w:t>
      </w:r>
    </w:p>
    <w:p>
      <w:pPr>
        <w:pStyle w:val="BodyText"/>
      </w:pPr>
      <w:r>
        <w:t xml:space="preserve"> </w:t>
      </w:r>
      <w:r>
        <w:t xml:space="preserve"> </w:t>
      </w:r>
    </w:p>
    <w:bookmarkEnd w:id="109"/>
    <w:bookmarkEnd w:id="110"/>
    <w:bookmarkStart w:id="111" w:name="visualisation-of-results"/>
    <w:p>
      <w:pPr>
        <w:pStyle w:val="Heading3"/>
      </w:pPr>
      <w:r>
        <w:t xml:space="preserve">Visualisation of results</w:t>
      </w:r>
    </w:p>
    <w:p>
      <w:pPr>
        <w:pStyle w:val="FirstParagraph"/>
      </w:pPr>
      <w:r>
        <w:t xml:space="preserve">Given the importance of visualising the potential biases alongside the results of any given study, a new visualisation tool was designed to allow for</w:t>
      </w:r>
      <w:r>
        <w:t xml:space="preserve"> </w:t>
      </w:r>
      <w:r>
        <w:t xml:space="preserve">“</w:t>
      </w:r>
      <w:r>
        <w:t xml:space="preserve">paired</w:t>
      </w:r>
      <w:r>
        <w:t xml:space="preserve">”</w:t>
      </w:r>
      <w:r>
        <w:t xml:space="preserve"> </w:t>
      </w:r>
      <w:r>
        <w:t xml:space="preserve">forest plots (as recommended by the ROB2 publication)</w:t>
      </w:r>
    </w:p>
    <w:p>
      <w:pPr>
        <w:pStyle w:val="BodyText"/>
      </w:pPr>
      <w:r>
        <w:t xml:space="preserve">This tool grew out of a collaboration with other reserachers to design a modular method for creating these plots</w:t>
      </w:r>
      <w:r>
        <w:t xml:space="preserve"> </w:t>
      </w:r>
    </w:p>
    <w:p>
      <w:pPr>
        <w:pStyle w:val="BodyText"/>
      </w:pPr>
      <w:r>
        <w:t xml:space="preserve">A summary of this tool is contained in Appendix</w:t>
      </w:r>
      <w:r>
        <w:t xml:space="preserve"> </w:t>
      </w:r>
      <w:r>
        <w:t xml:space="preserve">10.2</w:t>
      </w:r>
      <w:r>
        <w:t xml:space="preserve">, and all forest plots presented in this analysis were created using</w:t>
      </w:r>
    </w:p>
    <w:p>
      <w:pPr>
        <w:pStyle w:val="BodyText"/>
      </w:pPr>
      <w:r>
        <w:t xml:space="preserve">Results from the risk-of-bias assessment were visualized using a paired forest/risk-of-bias blobbogram, created using the</w:t>
      </w:r>
      <w:r>
        <w:t xml:space="preserve"> </w:t>
      </w:r>
      <w:r>
        <w:rPr>
          <w:rStyle w:val="VerbatimChar"/>
        </w:rPr>
        <w:t xml:space="preserve">robvis</w:t>
      </w:r>
      <w:r>
        <w:t xml:space="preserve"> </w:t>
      </w:r>
      <w:r>
        <w:t xml:space="preserve">tool. This tool was developed as an adjunct to this thesis to aid in creating standard risk-of-bias figures.</w:t>
      </w:r>
      <w:hyperlink w:anchor="ref-mcguinness2019">
        <w:r>
          <w:rPr>
            <w:rStyle w:val="Hyperlink"/>
            <w:vertAlign w:val="superscript"/>
          </w:rPr>
          <w:t xml:space="preserve">158</w:t>
        </w:r>
      </w:hyperlink>
      <w:r>
        <w:t xml:space="preserve"> </w:t>
      </w:r>
      <w:r>
        <w:t xml:space="preserve">A summary of the tool is provided in Appendix</w:t>
      </w:r>
      <w:r>
        <w:t xml:space="preserve"> </w:t>
      </w:r>
      <w:r>
        <w:t xml:space="preserve">10.2</w:t>
      </w:r>
      <w:r>
        <w:t xml:space="preserve">.</w:t>
      </w:r>
    </w:p>
    <w:p>
      <w:pPr>
        <w:pStyle w:val="BodyText"/>
      </w:pPr>
      <w:r>
        <w:t xml:space="preserve"> </w:t>
      </w:r>
      <w:r>
        <w:t xml:space="preserve"> </w:t>
      </w:r>
    </w:p>
    <w:bookmarkEnd w:id="111"/>
    <w:bookmarkStart w:id="112" w:name="Xf6d478a34dce200ea95dfd322c7f1e4ba8b4e05"/>
    <w:p>
      <w:pPr>
        <w:pStyle w:val="Heading3"/>
      </w:pPr>
      <w:r>
        <w:t xml:space="preserve">Assessment of added value of including preprint</w:t>
      </w:r>
    </w:p>
    <w:p>
      <w:pPr>
        <w:pStyle w:val="FirstParagraph"/>
      </w:pPr>
      <w:r>
        <w:t xml:space="preserve">Preprints are a valuable evidence source (see Introduction) but their inclusion in a systematic reivew</w:t>
      </w:r>
    </w:p>
    <w:p>
      <w:pPr>
        <w:pStyle w:val="BodyText"/>
      </w:pPr>
      <w:r>
        <w:t xml:space="preserve">Additionally, I followed preprints up over time to investigate whether all identified preprints included in the review were subsequently published (in which case preprints give you a look into the future, and a systematic review update would capture these reports) or alternatively, if some preprints were not published, then preprints provide a different.</w:t>
      </w:r>
    </w:p>
    <w:p>
      <w:pPr>
        <w:pStyle w:val="BodyText"/>
      </w:pPr>
      <w:r>
        <w:t xml:space="preserve">I also sought to explore the additional evidental value of including preprints in the meta-analysis, assessed using the fixed effect weight from a standard meta-analysis.</w:t>
      </w:r>
    </w:p>
    <w:bookmarkEnd w:id="112"/>
    <w:bookmarkStart w:id="113" w:name="patient-and-public-involvement"/>
    <w:p>
      <w:pPr>
        <w:pStyle w:val="Heading3"/>
      </w:pPr>
      <w:r>
        <w:t xml:space="preserve">Patient and public involvement</w:t>
      </w:r>
    </w:p>
    <w:bookmarkEnd w:id="113"/>
    <w:bookmarkStart w:id="114" w:name="deviations-from-the-protocol"/>
    <w:p>
      <w:pPr>
        <w:pStyle w:val="Heading3"/>
      </w:pPr>
      <w:r>
        <w:t xml:space="preserve">Deviations from the protocol</w:t>
      </w:r>
    </w:p>
    <w:p>
      <w:pPr>
        <w:pStyle w:val="FirstParagraph"/>
      </w:pPr>
      <w:r>
        <w:t xml:space="preserve">A dose response meta-analysis was not planned, marking a departure from the register protocol.</w:t>
      </w:r>
      <w:r>
        <w:t xml:space="preserve"> </w:t>
      </w:r>
    </w:p>
    <w:bookmarkEnd w:id="114"/>
    <w:bookmarkEnd w:id="115"/>
    <w:bookmarkStart w:id="128" w:name="results"/>
    <w:p>
      <w:pPr>
        <w:pStyle w:val="Heading2"/>
      </w:pPr>
      <w:r>
        <w:t xml:space="preserve">Results</w:t>
      </w:r>
    </w:p>
    <w:bookmarkStart w:id="117" w:name="search-and-screening-results"/>
    <w:p>
      <w:pPr>
        <w:pStyle w:val="Heading3"/>
      </w:pPr>
      <w:r>
        <w:t xml:space="preserve">Search and screening results</w:t>
      </w:r>
    </w:p>
    <w:p>
      <w:pPr>
        <w:pStyle w:val="FirstParagraph"/>
      </w:pPr>
      <w:r>
        <w:t xml:space="preserve">Twenty-three thousand, four hundred forty-seven records were identified through database searches. Following depulication, 16,109 unique records remained.</w:t>
      </w:r>
    </w:p>
    <w:p>
      <w:pPr>
        <w:pStyle w:val="CaptionedFigure"/>
      </w:pPr>
      <w:r>
        <w:drawing>
          <wp:inline>
            <wp:extent cx="5943600" cy="2687473"/>
            <wp:effectExtent b="0" l="0" r="0" t="0"/>
            <wp:docPr descr="Figure 4: PRISMA Flow diagram illustrating how records moved through the systematic review process. The different contributions of databases and preprint servers to the review are indicated."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6"/>
                    <a:stretch>
                      <a:fillRect/>
                    </a:stretch>
                  </pic:blipFill>
                  <pic:spPr bwMode="auto">
                    <a:xfrm>
                      <a:off x="0" y="0"/>
                      <a:ext cx="5943600" cy="2687473"/>
                    </a:xfrm>
                    <a:prstGeom prst="rect">
                      <a:avLst/>
                    </a:prstGeom>
                    <a:noFill/>
                    <a:ln w="9525">
                      <a:noFill/>
                      <a:headEnd/>
                      <a:tailEnd/>
                    </a:ln>
                  </pic:spPr>
                </pic:pic>
              </a:graphicData>
            </a:graphic>
          </wp:inline>
        </w:drawing>
      </w:r>
    </w:p>
    <w:p>
      <w:pPr>
        <w:pStyle w:val="ImageCaption"/>
      </w:pPr>
      <w:r>
        <w:t xml:space="preserve">Figure 4: PRISMA Flow diagram illustrating how records moved through the systematic review process. The different contributions of databases and preprint servers to the review are indicated.</w:t>
      </w:r>
    </w:p>
    <w:p>
      <w:pPr>
        <w:pStyle w:val="BodyText"/>
      </w:pPr>
      <w:r>
        <w:t xml:space="preserve">Following de-duplication, the titles and abstracts of 16,109 records were assessed for eligibility. 387 were deemed potentially eligible and the full text records for these were requested and screened.</w:t>
      </w:r>
      <w:r>
        <w:t xml:space="preserve"> </w:t>
      </w:r>
      <w:r>
        <w:t xml:space="preserve">4</w:t>
      </w:r>
    </w:p>
    <w:p>
      <w:pPr>
        <w:pStyle w:val="BodyText"/>
      </w:pPr>
      <w:r>
        <w:t xml:space="preserve">A PRISMA (Preferred Reporting Items for Systematic Reviews and Meta-analyses) flow diagram,</w:t>
      </w:r>
      <w:hyperlink w:anchor="ref-page2021">
        <w:r>
          <w:rPr>
            <w:rStyle w:val="Hyperlink"/>
            <w:vertAlign w:val="superscript"/>
          </w:rPr>
          <w:t xml:space="preserve">159</w:t>
        </w:r>
      </w:hyperlink>
      <w:r>
        <w:t xml:space="preserve"> </w:t>
      </w:r>
      <w:r>
        <w:t xml:space="preserve">shown in Figure</w:t>
      </w:r>
      <w:r>
        <w:t xml:space="preserve"> </w:t>
      </w:r>
      <w:r>
        <w:t xml:space="preserve">??</w:t>
      </w:r>
      <w:r>
        <w:t xml:space="preserve">, shows the movement of articles through the review. To illustrate the contribution of preprint archives to the review, the flow diagram delineates between those records captured through databases searches (presented on the right of the diagram) and those captured by the search tool described in the previous chapter (presented in grey on the left of the diagram).</w:t>
      </w:r>
    </w:p>
    <w:p>
      <w:pPr>
        <w:pStyle w:val="BodyText"/>
      </w:pPr>
      <w:r>
        <w:t xml:space="preserve">Following screening, XXX studies were included.</w:t>
      </w:r>
    </w:p>
    <w:p>
      <w:pPr>
        <w:pStyle w:val="BodyText"/>
      </w:pPr>
      <w:r>
        <w:t xml:space="preserve">The distribution of included studies over time demonstrates that despite the conduct of several previous reviews of different types of literature surrounding this question, primary studies continue to the published as these reviews have yet to provide a definite answer.</w:t>
      </w:r>
    </w:p>
    <w:p>
      <w:pPr>
        <w:pStyle w:val="BodyText"/>
      </w:pPr>
      <w:r>
        <w:t xml:space="preserve">Table</w:t>
      </w:r>
      <w:r>
        <w:t xml:space="preserve"> </w:t>
      </w:r>
      <w:r>
        <w:t xml:space="preserve">??</w:t>
      </w:r>
      <w:r>
        <w:t xml:space="preserve"> </w:t>
      </w:r>
      <w:r>
        <w:t xml:space="preserve">shows the characteristics [</w:t>
      </w:r>
      <w:r>
        <w:rPr>
          <w:bCs/>
          <w:b/>
        </w:rPr>
        <w:t xml:space="preserve">Include column here that says whether it was included in a systematic review - see below</w:t>
      </w:r>
      <w:r>
        <w:t xml:space="preserve">]</w:t>
      </w:r>
    </w:p>
    <w:p>
      <w:pPr>
        <w:pStyle w:val="BodyText"/>
      </w:pPr>
      <w:r>
        <w:t xml:space="preserve">As part of our our forward snowballing exercise (where articles citing an included study are cited), Irecorded whether a study included in our review had been included in any previous evidence synthesis attempt in an attempt to qualify the added value of this analysis. Additionally, if an included article was subsequently cited by a review, all studies in that review were screened for inclusion for the sake of completeness. This analysis was performed by extracting the citing articles from Google Scholar on [DATE] and screening them manually. The DOI of articles extracted from this analysis are included in the appendix, as the Google Scholar search functionality is not readily reproducible.*</w:t>
      </w:r>
    </w:p>
    <w:p>
      <w:pPr>
        <w:pStyle w:val="BodyText"/>
      </w:pPr>
      <w:r>
        <w:t xml:space="preserve">As a summary of the duplication of work in this area, Ilooked at how many reviews a single included study had previously been included in.</w:t>
      </w:r>
    </w:p>
    <w:p>
      <w:pPr>
        <w:pStyle w:val="BodyText"/>
      </w:pPr>
      <w:r>
        <w:t xml:space="preserve"> </w:t>
      </w:r>
    </w:p>
    <w:p>
      <w:pPr>
        <w:pStyle w:val="BodyText"/>
      </w:pPr>
      <w:r>
        <w:t xml:space="preserve">(ref:agreeInter-caption) Inter-rater agreement on a subset of ~10% of records, illustrating high accuracy.</w:t>
      </w:r>
    </w:p>
    <w:p>
      <w:pPr>
        <w:pStyle w:val="TableCaption"/>
      </w:pPr>
      <w:r>
        <w:t xml:space="preserve">Table 8: (ref:agreeInter-caption)</w:t>
      </w:r>
    </w:p>
    <w:tbl>
      <w:tblPr>
        <w:tblStyle w:val="Table"/>
        <w:tblW w:type="pct" w:w="0.0"/>
        <w:tblLook w:firstRow="1" w:lastRow="0" w:firstColumn="0" w:lastColumn="0" w:noHBand="0" w:noVBand="0" w:val="0020"/>
        <w:tblCaption w:val="Table 8: (ref:agreeInter-caption)"/>
      </w:tblPr>
      <w:tblGrid/>
      <w:tr>
        <w:tc>
          <w:p>
            <w:pPr>
              <w:pStyle w:val="Compact"/>
              <w:jc w:val="left"/>
            </w:pPr>
            <w:r>
              <w:t xml:space="preserve">group</w:t>
            </w:r>
          </w:p>
        </w:tc>
        <w:tc>
          <w:p>
            <w:pPr>
              <w:pStyle w:val="Compact"/>
              <w:jc w:val="left"/>
            </w:pPr>
            <w:r>
              <w:t xml:space="preserve">reviewer</w:t>
            </w:r>
          </w:p>
        </w:tc>
        <w:tc>
          <w:p>
            <w:pPr>
              <w:pStyle w:val="Compact"/>
              <w:jc w:val="right"/>
            </w:pPr>
            <w:r>
              <w:t xml:space="preserve">Exclude</w:t>
            </w:r>
          </w:p>
        </w:tc>
        <w:tc>
          <w:p>
            <w:pPr>
              <w:pStyle w:val="Compact"/>
              <w:jc w:val="right"/>
            </w:pPr>
            <w:r>
              <w:t xml:space="preserve">Include</w:t>
            </w:r>
          </w:p>
        </w:tc>
        <w:tc>
          <w:p>
            <w:pPr>
              <w:pStyle w:val="Compact"/>
              <w:jc w:val="right"/>
            </w:pPr>
            <w:r>
              <w:t xml:space="preserve">Total</w:t>
            </w:r>
          </w:p>
        </w:tc>
      </w:tr>
      <w:tr>
        <w:tc>
          <w:p>
            <w:pPr>
              <w:pStyle w:val="Compact"/>
              <w:jc w:val="left"/>
            </w:pPr>
            <w:r>
              <w:t xml:space="preserve">Second reviewer decision</w:t>
            </w:r>
          </w:p>
        </w:tc>
        <w:tc>
          <w:p>
            <w:pPr>
              <w:pStyle w:val="Compact"/>
              <w:jc w:val="left"/>
            </w:pPr>
            <w:r>
              <w:t xml:space="preserve">Exclude</w:t>
            </w:r>
          </w:p>
        </w:tc>
        <w:tc>
          <w:p>
            <w:pPr>
              <w:pStyle w:val="Compact"/>
              <w:jc w:val="right"/>
            </w:pPr>
            <w:r>
              <w:t xml:space="preserve">1244</w:t>
            </w:r>
          </w:p>
        </w:tc>
        <w:tc>
          <w:p>
            <w:pPr>
              <w:pStyle w:val="Compact"/>
              <w:jc w:val="right"/>
            </w:pPr>
            <w:r>
              <w:t xml:space="preserve">9</w:t>
            </w:r>
          </w:p>
        </w:tc>
        <w:tc>
          <w:p>
            <w:pPr>
              <w:pStyle w:val="Compact"/>
              <w:jc w:val="right"/>
            </w:pPr>
            <w:r>
              <w:t xml:space="preserve">1253</w:t>
            </w:r>
          </w:p>
        </w:tc>
      </w:tr>
      <w:tr>
        <w:tc>
          <w:p>
            <w:pPr>
              <w:pStyle w:val="Compact"/>
              <w:jc w:val="left"/>
            </w:pPr>
            <w:r>
              <w:t xml:space="preserve">Second reviewer decision</w:t>
            </w:r>
          </w:p>
        </w:tc>
        <w:tc>
          <w:p>
            <w:pPr>
              <w:pStyle w:val="Compact"/>
              <w:jc w:val="left"/>
            </w:pPr>
            <w:r>
              <w:t xml:space="preserve">Include</w:t>
            </w:r>
          </w:p>
        </w:tc>
        <w:tc>
          <w:p>
            <w:pPr>
              <w:pStyle w:val="Compact"/>
              <w:jc w:val="right"/>
            </w:pPr>
            <w:r>
              <w:t xml:space="preserve">26</w:t>
            </w:r>
          </w:p>
        </w:tc>
        <w:tc>
          <w:p>
            <w:pPr>
              <w:pStyle w:val="Compact"/>
              <w:jc w:val="right"/>
            </w:pPr>
            <w:r>
              <w:t xml:space="preserve">22</w:t>
            </w:r>
          </w:p>
        </w:tc>
        <w:tc>
          <w:p>
            <w:pPr>
              <w:pStyle w:val="Compact"/>
              <w:jc w:val="right"/>
            </w:pPr>
            <w:r>
              <w:t xml:space="preserve">48</w:t>
            </w:r>
          </w:p>
        </w:tc>
      </w:tr>
      <w:tr>
        <w:tc>
          <w:p>
            <w:pPr>
              <w:pStyle w:val="Compact"/>
              <w:jc w:val="left"/>
            </w:pPr>
            <w:r>
              <w:t xml:space="preserve">Second reviewer decision</w:t>
            </w:r>
          </w:p>
        </w:tc>
        <w:tc>
          <w:p>
            <w:pPr>
              <w:pStyle w:val="Compact"/>
              <w:jc w:val="left"/>
            </w:pPr>
            <w:r>
              <w:t xml:space="preserve">Total</w:t>
            </w:r>
          </w:p>
        </w:tc>
        <w:tc>
          <w:p>
            <w:pPr>
              <w:pStyle w:val="Compact"/>
              <w:jc w:val="right"/>
            </w:pPr>
            <w:r>
              <w:t xml:space="preserve">1270</w:t>
            </w:r>
          </w:p>
        </w:tc>
        <w:tc>
          <w:p>
            <w:pPr>
              <w:pStyle w:val="Compact"/>
              <w:jc w:val="right"/>
            </w:pPr>
            <w:r>
              <w:t xml:space="preserve">31</w:t>
            </w:r>
          </w:p>
        </w:tc>
        <w:tc>
          <w:p>
            <w:pPr>
              <w:pStyle w:val="Compact"/>
              <w:jc w:val="right"/>
            </w:pPr>
            <w:r>
              <w:t xml:space="preserve">1301</w:t>
            </w:r>
          </w:p>
        </w:tc>
      </w:tr>
    </w:tbl>
    <w:p>
      <w:pPr>
        <w:pStyle w:val="TableCaption"/>
      </w:pPr>
      <w:r>
        <w:t xml:space="preserve">Table 9: Intra-rater agreement on subset of records, indicating high consistency.</w:t>
      </w:r>
    </w:p>
    <w:tbl>
      <w:tblPr>
        <w:tblStyle w:val="Table"/>
        <w:tblW w:type="pct" w:w="0.0"/>
        <w:tblLook w:firstRow="1" w:lastRow="0" w:firstColumn="0" w:lastColumn="0" w:noHBand="0" w:noVBand="0" w:val="0020"/>
        <w:tblCaption w:val="Table 9: Intra-rater agreement on subset of records, indicating high consistency."/>
      </w:tblPr>
      <w:tblGrid/>
      <w:tr>
        <w:tc>
          <w:p>
            <w:pPr>
              <w:pStyle w:val="Compact"/>
              <w:jc w:val="left"/>
            </w:pPr>
            <w:r>
              <w:t xml:space="preserve">group</w:t>
            </w:r>
          </w:p>
        </w:tc>
        <w:tc>
          <w:p>
            <w:pPr>
              <w:pStyle w:val="Compact"/>
              <w:jc w:val="left"/>
            </w:pPr>
            <w:r>
              <w:t xml:space="preserve">reviewer</w:t>
            </w:r>
          </w:p>
        </w:tc>
        <w:tc>
          <w:p>
            <w:pPr>
              <w:pStyle w:val="Compact"/>
              <w:jc w:val="right"/>
            </w:pPr>
            <w:r>
              <w:t xml:space="preserve">Exclude</w:t>
            </w:r>
          </w:p>
        </w:tc>
        <w:tc>
          <w:p>
            <w:pPr>
              <w:pStyle w:val="Compact"/>
              <w:jc w:val="right"/>
            </w:pPr>
            <w:r>
              <w:t xml:space="preserve">Include</w:t>
            </w:r>
          </w:p>
        </w:tc>
        <w:tc>
          <w:p>
            <w:pPr>
              <w:pStyle w:val="Compact"/>
              <w:jc w:val="right"/>
            </w:pPr>
            <w:r>
              <w:t xml:space="preserve">Total</w:t>
            </w:r>
          </w:p>
        </w:tc>
      </w:tr>
      <w:tr>
        <w:tc>
          <w:p>
            <w:pPr>
              <w:pStyle w:val="Compact"/>
              <w:jc w:val="left"/>
            </w:pPr>
            <w:r>
              <w:t xml:space="preserve">Same reviewer decision</w:t>
            </w:r>
          </w:p>
        </w:tc>
        <w:tc>
          <w:p>
            <w:pPr>
              <w:pStyle w:val="Compact"/>
              <w:jc w:val="left"/>
            </w:pPr>
            <w:r>
              <w:t xml:space="preserve">Exclude</w:t>
            </w:r>
          </w:p>
        </w:tc>
        <w:tc>
          <w:p>
            <w:pPr>
              <w:pStyle w:val="Compact"/>
              <w:jc w:val="right"/>
            </w:pPr>
            <w:r>
              <w:t xml:space="preserve">1266</w:t>
            </w:r>
          </w:p>
        </w:tc>
        <w:tc>
          <w:p>
            <w:pPr>
              <w:pStyle w:val="Compact"/>
              <w:jc w:val="right"/>
            </w:pPr>
            <w:r>
              <w:t xml:space="preserve">14</w:t>
            </w:r>
          </w:p>
        </w:tc>
        <w:tc>
          <w:p>
            <w:pPr>
              <w:pStyle w:val="Compact"/>
              <w:jc w:val="right"/>
            </w:pPr>
            <w:r>
              <w:t xml:space="preserve">1280</w:t>
            </w:r>
          </w:p>
        </w:tc>
      </w:tr>
      <w:tr>
        <w:tc>
          <w:p>
            <w:pPr>
              <w:pStyle w:val="Compact"/>
              <w:jc w:val="left"/>
            </w:pPr>
            <w:r>
              <w:t xml:space="preserve">Same reviewer decision</w:t>
            </w:r>
          </w:p>
        </w:tc>
        <w:tc>
          <w:p>
            <w:pPr>
              <w:pStyle w:val="Compact"/>
              <w:jc w:val="left"/>
            </w:pPr>
            <w:r>
              <w:t xml:space="preserve">Include</w:t>
            </w:r>
          </w:p>
        </w:tc>
        <w:tc>
          <w:p>
            <w:pPr>
              <w:pStyle w:val="Compact"/>
              <w:jc w:val="right"/>
            </w:pPr>
            <w:r>
              <w:t xml:space="preserve">4</w:t>
            </w:r>
          </w:p>
        </w:tc>
        <w:tc>
          <w:p>
            <w:pPr>
              <w:pStyle w:val="Compact"/>
              <w:jc w:val="right"/>
            </w:pPr>
            <w:r>
              <w:t xml:space="preserve">17</w:t>
            </w:r>
          </w:p>
        </w:tc>
        <w:tc>
          <w:p>
            <w:pPr>
              <w:pStyle w:val="Compact"/>
              <w:jc w:val="right"/>
            </w:pPr>
            <w:r>
              <w:t xml:space="preserve">21</w:t>
            </w:r>
          </w:p>
        </w:tc>
      </w:tr>
      <w:tr>
        <w:tc>
          <w:p>
            <w:pPr>
              <w:pStyle w:val="Compact"/>
              <w:jc w:val="left"/>
            </w:pPr>
            <w:r>
              <w:t xml:space="preserve">Same reviewer decision</w:t>
            </w:r>
          </w:p>
        </w:tc>
        <w:tc>
          <w:p>
            <w:pPr>
              <w:pStyle w:val="Compact"/>
              <w:jc w:val="left"/>
            </w:pPr>
            <w:r>
              <w:t xml:space="preserve">Total</w:t>
            </w:r>
          </w:p>
        </w:tc>
        <w:tc>
          <w:p>
            <w:pPr>
              <w:pStyle w:val="Compact"/>
              <w:jc w:val="right"/>
            </w:pPr>
            <w:r>
              <w:t xml:space="preserve">1270</w:t>
            </w:r>
          </w:p>
        </w:tc>
        <w:tc>
          <w:p>
            <w:pPr>
              <w:pStyle w:val="Compact"/>
              <w:jc w:val="right"/>
            </w:pPr>
            <w:r>
              <w:t xml:space="preserve">31</w:t>
            </w:r>
          </w:p>
        </w:tc>
        <w:tc>
          <w:p>
            <w:pPr>
              <w:pStyle w:val="Compact"/>
              <w:jc w:val="right"/>
            </w:pPr>
            <w:r>
              <w:t xml:space="preserve">1301</w:t>
            </w:r>
          </w:p>
        </w:tc>
      </w:tr>
    </w:tbl>
    <w:p>
      <w:pPr>
        <w:pStyle w:val="BodyText"/>
      </w:pPr>
      <w:r>
        <w:t xml:space="preserve"> </w:t>
      </w:r>
    </w:p>
    <w:p>
      <w:pPr>
        <w:pStyle w:val="BodyText"/>
      </w:pPr>
      <w:r>
        <w:t xml:space="preserve">For the inter-rater reliability, agreement was very high (</w:t>
      </w:r>
      <m:oMath>
        <m:r>
          <m:t>A</m:t>
        </m:r>
        <m:r>
          <m:t>C</m:t>
        </m:r>
        <m:r>
          <m:t>1</m:t>
        </m:r>
      </m:oMath>
      <w:r>
        <w:t xml:space="preserve"> </w:t>
      </w:r>
      <w:r>
        <w:t xml:space="preserve">= 0.97,</w:t>
      </w:r>
      <w:r>
        <w:t xml:space="preserve"> </w:t>
      </w:r>
      <m:oMath>
        <m:r>
          <m:t>k</m:t>
        </m:r>
        <m:r>
          <m:t>a</m:t>
        </m:r>
        <m:r>
          <m:t>p</m:t>
        </m:r>
        <m:r>
          <m:t>p</m:t>
        </m:r>
        <m:r>
          <m:t>a</m:t>
        </m:r>
      </m:oMath>
      <w:r>
        <w:t xml:space="preserve"> </w:t>
      </w:r>
      <w:r>
        <w:t xml:space="preserve">= 0.54, Table</w:t>
      </w:r>
      <w:r>
        <w:t xml:space="preserve"> </w:t>
      </w:r>
      <w:r>
        <w:t xml:space="preserve">8</w:t>
      </w:r>
      <w:r>
        <w:t xml:space="preserve">). Agreement was similary high for intra-rater reliability (</w:t>
      </w:r>
      <m:oMath>
        <m:r>
          <m:t>A</m:t>
        </m:r>
        <m:r>
          <m:t>C</m:t>
        </m:r>
        <m:r>
          <m:t>1</m:t>
        </m:r>
      </m:oMath>
      <w:r>
        <w:t xml:space="preserve"> </w:t>
      </w:r>
      <w:r>
        <w:t xml:space="preserve">= 0.99,</w:t>
      </w:r>
      <w:r>
        <w:t xml:space="preserve"> </w:t>
      </w:r>
      <m:oMath>
        <m:r>
          <m:t>k</m:t>
        </m:r>
        <m:r>
          <m:t>a</m:t>
        </m:r>
        <m:r>
          <m:t>p</m:t>
        </m:r>
        <m:r>
          <m:t>p</m:t>
        </m:r>
        <m:r>
          <m:t>a</m:t>
        </m:r>
      </m:oMath>
      <w:r>
        <w:t xml:space="preserve"> </w:t>
      </w:r>
      <w:r>
        <w:t xml:space="preserve">= 0.65, Table</w:t>
      </w:r>
      <w:r>
        <w:t xml:space="preserve"> </w:t>
      </w:r>
      <w:r>
        <w:t xml:space="preserve">9</w:t>
      </w:r>
      <w:r>
        <w:t xml:space="preserve">). The discrepancy between the</w:t>
      </w:r>
      <w:r>
        <w:t xml:space="preserve"> </w:t>
      </w:r>
      <m:oMath>
        <m:r>
          <m:t>A</m:t>
        </m:r>
        <m:r>
          <m:t>C</m:t>
        </m:r>
        <m:r>
          <m:t>1</m:t>
        </m:r>
      </m:oMath>
      <w:r>
        <w:t xml:space="preserve"> </w:t>
      </w:r>
      <w:r>
        <w:t xml:space="preserve">and</w:t>
      </w:r>
      <w:r>
        <w:t xml:space="preserve"> </w:t>
      </w:r>
      <m:oMath>
        <m:r>
          <m:t>k</m:t>
        </m:r>
        <m:r>
          <m:t>a</m:t>
        </m:r>
        <m:r>
          <m:t>p</m:t>
        </m:r>
        <m:r>
          <m:t>p</m:t>
        </m:r>
        <m:r>
          <m:t>a</m:t>
        </m:r>
      </m:oMath>
      <w:r>
        <w:t xml:space="preserve"> </w:t>
      </w:r>
      <w:r>
        <w:t xml:space="preserve">coefficients illustrates the sensitivity of</w:t>
      </w:r>
      <w:r>
        <w:t xml:space="preserve"> </w:t>
      </w:r>
      <m:oMath>
        <m:r>
          <m:t>k</m:t>
        </m:r>
        <m:r>
          <m:t>a</m:t>
        </m:r>
        <m:r>
          <m:t>p</m:t>
        </m:r>
        <m:r>
          <m:t>p</m:t>
        </m:r>
        <m:r>
          <m:t>a</m:t>
        </m:r>
      </m:oMath>
      <w:r>
        <w:t xml:space="preserve"> </w:t>
      </w:r>
      <w:r>
        <w:t xml:space="preserve">to imbalanced marginals, caused in this sample by a heavy imbalance towards exclusion.</w:t>
      </w:r>
      <w:hyperlink w:anchor="ref-feinstein1990">
        <w:r>
          <w:rPr>
            <w:rStyle w:val="Hyperlink"/>
            <w:vertAlign w:val="superscript"/>
          </w:rPr>
          <w:t xml:space="preserve">160</w:t>
        </w:r>
      </w:hyperlink>
    </w:p>
    <w:p>
      <w:pPr>
        <w:pStyle w:val="BodyText"/>
      </w:pPr>
      <w:r>
        <w:t xml:space="preserve">Those records which were excluded in the initial screening, but were included by the second reviewer (n=26) were investigated. This discrepancy between the two reviewers was explained in all cases by differing interpretations of the inclusion criteria, specifically around the definition of cognitive decline versus mild cognitive impairment, and the definition of eligible lipids fractions.</w:t>
      </w:r>
    </w:p>
    <w:p>
      <w:pPr>
        <w:pStyle w:val="BodyText"/>
      </w:pPr>
      <w:r>
        <w:t xml:space="preserve">Additionally, records I excluded on my second viewing (n=4) were investigated. All were . . .</w:t>
      </w:r>
    </w:p>
    <w:p>
      <w:pPr>
        <w:pStyle w:val="BodyText"/>
      </w:pPr>
      <w:r>
        <w:t xml:space="preserve">Of note, preprints and published papers reporting the same study were not considered duplicate records. Instead, they were considered as different reports of the same study. This is due to the potential for the published version to offer some information that the preprint did not, and vice versa.</w:t>
      </w:r>
    </w:p>
    <w:bookmarkEnd w:id="117"/>
    <w:bookmarkStart w:id="118" w:name="characteristics-of-included-studies"/>
    <w:p>
      <w:pPr>
        <w:pStyle w:val="Heading3"/>
      </w:pPr>
      <w:r>
        <w:t xml:space="preserve">Characteristics of included studies</w:t>
      </w:r>
    </w:p>
    <w:p>
      <w:pPr>
        <w:pStyle w:val="FirstParagraph"/>
      </w:pPr>
      <w:r>
        <w:t xml:space="preserve">XXXX studies met the criteria for inclusion in the review.</w:t>
      </w:r>
    </w:p>
    <w:p>
      <w:pPr>
        <w:pStyle w:val="BodyText"/>
      </w:pPr>
      <w:r>
        <w:t xml:space="preserve">As shown in</w:t>
      </w:r>
    </w:p>
    <w:p>
      <w:pPr>
        <w:pStyle w:val="BodyText"/>
      </w:pPr>
      <w:r>
        <w:t xml:space="preserve">Include here:</w:t>
      </w:r>
    </w:p>
    <w:p>
      <w:pPr>
        <w:numPr>
          <w:ilvl w:val="0"/>
          <w:numId w:val="1009"/>
        </w:numPr>
      </w:pPr>
      <w:r>
        <w:t xml:space="preserve">PRISMA Flowchart</w:t>
      </w:r>
    </w:p>
    <w:p>
      <w:pPr>
        <w:numPr>
          <w:ilvl w:val="0"/>
          <w:numId w:val="1009"/>
        </w:numPr>
      </w:pPr>
      <w:r>
        <w:t xml:space="preserve">Summary of types of study</w:t>
      </w:r>
    </w:p>
    <w:p>
      <w:pPr>
        <w:numPr>
          <w:ilvl w:val="0"/>
          <w:numId w:val="1009"/>
        </w:numPr>
      </w:pPr>
      <w:r>
        <w:t xml:space="preserve">Summary of locations (use evidence map)</w:t>
      </w:r>
    </w:p>
    <w:p>
      <w:pPr>
        <w:numPr>
          <w:ilvl w:val="0"/>
          <w:numId w:val="1009"/>
        </w:numPr>
      </w:pPr>
      <w:r>
        <w:t xml:space="preserve">Summary of diagnostic criteria used</w:t>
      </w:r>
    </w:p>
    <w:p>
      <w:pPr>
        <w:numPr>
          <w:ilvl w:val="0"/>
          <w:numId w:val="1009"/>
        </w:numPr>
      </w:pPr>
      <w:r>
        <w:t xml:space="preserve">Summary of risk of bias</w:t>
      </w:r>
    </w:p>
    <w:p>
      <w:pPr>
        <w:numPr>
          <w:ilvl w:val="0"/>
          <w:numId w:val="1009"/>
        </w:numPr>
      </w:pPr>
      <w:r>
        <w:t xml:space="preserve">Long table, horizontally.</w:t>
      </w:r>
    </w:p>
    <w:p>
      <w:pPr>
        <w:pStyle w:val="FirstParagraph"/>
      </w:pPr>
      <w:r>
        <w:t xml:space="preserve">A common theme across the studies was a lack of data on vascular dementia. This is particularly interesting as lipids and statins are primarily a vascular disease. There is the potential that they studies encountered similar difficulties in address the unexpected results observed in the CPRD analysis in Chapter</w:t>
      </w:r>
      <w:r>
        <w:t xml:space="preserve"> </w:t>
      </w:r>
      <w:r>
        <w:t xml:space="preserve">5</w:t>
      </w:r>
      <w:r>
        <w:t xml:space="preserve">. For vascular dementia, few studies exmined this outcome, primarily because of the absence (until recently) of</w:t>
      </w:r>
    </w:p>
    <w:p>
      <w:pPr>
        <w:pStyle w:val="BodyText"/>
      </w:pPr>
      <w:r>
        <w:t xml:space="preserve">One item of particular interest in the absence of studies examining Mendelian randomisation studies is the absence of any effect following the adjustment for Apoe4. As covered in the discussion, ApoE4 genotype is the mjor risk factor for Alzheimer’s disease.</w:t>
      </w:r>
    </w:p>
    <w:p>
      <w:pPr>
        <w:pStyle w:val="BodyText"/>
      </w:pPr>
      <w:r>
        <w:t xml:space="preserve">In addition, there was quite a spread in terms fo the effect estimates used to th. Previous systematic review</w:t>
      </w:r>
    </w:p>
    <w:bookmarkEnd w:id="118"/>
    <w:bookmarkStart w:id="119" w:name="converting-risk-ratios-to-odds-ratios"/>
    <w:p>
      <w:pPr>
        <w:pStyle w:val="Heading3"/>
      </w:pPr>
      <w:r>
        <w:t xml:space="preserve">Converting risk ratios to odds ratios</w:t>
      </w:r>
    </w:p>
    <w:p>
      <w:pPr>
        <w:pStyle w:val="FirstParagraph"/>
      </w:pPr>
      <w:r>
        <w:t xml:space="preserve">Include formulae and informed assumptions</w:t>
      </w:r>
    </w:p>
    <w:bookmarkEnd w:id="119"/>
    <w:bookmarkStart w:id="120" w:name="hazard-ratios-vs-riskodds-ratios"/>
    <w:p>
      <w:pPr>
        <w:pStyle w:val="Heading3"/>
      </w:pPr>
      <w:r>
        <w:t xml:space="preserve">Hazard ratios vs risk/odds ratios</w:t>
      </w:r>
    </w:p>
    <w:p>
      <w:pPr>
        <w:pStyle w:val="FirstParagraph"/>
      </w:pPr>
      <w:r>
        <w:t xml:space="preserve">Not interchangeable in the context of systematic review. If outcome is rare, odds and risk ratios approximate each other, but the hazard ratio is measuring something completely different, by taking into account time-to-event in each treatment group.</w:t>
      </w:r>
    </w:p>
    <w:p>
      <w:pPr>
        <w:pStyle w:val="BodyText"/>
      </w:pPr>
      <w:r>
        <w:t xml:space="preserve">Several existing reviews do not distinguish between the two types of effect measures and include all existing studies in a single meta-analysis to produce an overall effect.</w:t>
      </w:r>
    </w:p>
    <w:p>
      <w:pPr>
        <w:pStyle w:val="BodyText"/>
      </w:pPr>
      <w:r>
        <w:t xml:space="preserve">The likely effect of this is that the overall effect measures are biased towards . . . . ?</w:t>
      </w:r>
    </w:p>
    <w:p>
      <w:pPr>
        <w:pStyle w:val="BodyText"/>
      </w:pPr>
      <w:r>
        <w:t xml:space="preserve">Can you predict the direction of effect from a</w:t>
      </w:r>
    </w:p>
    <w:p>
      <w:pPr>
        <w:pStyle w:val="BodyText"/>
      </w:pPr>
      <w:r>
        <w:t xml:space="preserve">Best practice methods for dealing with disparate effect measures in included studies is to not perform a meta-analysis</w:t>
      </w:r>
    </w:p>
    <w:p>
      <w:pPr>
        <w:pStyle w:val="BodyText"/>
      </w:pPr>
      <w:r>
        <w:t xml:space="preserve">Some evidence of manipulation of effect estimates in previous reviews,(e.g. Chou, Sci Reports - at least one study disagrees with) but not documented in review text.</w:t>
      </w:r>
    </w:p>
    <w:bookmarkEnd w:id="120"/>
    <w:bookmarkStart w:id="121" w:name="risk-of-bias-subheading"/>
    <w:p>
      <w:pPr>
        <w:pStyle w:val="Heading3"/>
      </w:pPr>
      <w:r>
        <w:t xml:space="preserve">Risk of bias</w:t>
      </w:r>
    </w:p>
    <w:bookmarkEnd w:id="121"/>
    <w:bookmarkStart w:id="122" w:name="dose-response-meta-analysis"/>
    <w:p>
      <w:pPr>
        <w:pStyle w:val="Heading3"/>
      </w:pPr>
      <w:r>
        <w:t xml:space="preserve">Dose response meta-analysis</w:t>
      </w:r>
    </w:p>
    <w:p>
      <w:pPr>
        <w:pStyle w:val="FirstParagraph"/>
      </w:pPr>
      <w:r>
        <w:t xml:space="preserve">Several studies were excluded from the dose-response meta-analysis, as the number of cases/controls be</w:t>
      </w:r>
    </w:p>
    <w:bookmarkEnd w:id="122"/>
    <w:bookmarkStart w:id="123" w:name="sources-of-heterogeneity"/>
    <w:p>
      <w:pPr>
        <w:pStyle w:val="Heading3"/>
      </w:pPr>
      <w:r>
        <w:t xml:space="preserve">Sources of heterogeneity</w:t>
      </w:r>
    </w:p>
    <w:p>
      <w:pPr>
        <w:pStyle w:val="FirstParagraph"/>
      </w:pPr>
      <w:r>
        <w:t xml:space="preserve">Detail that some of these are exploratory, in particular the effect of different scales on the association between the groups.</w:t>
      </w:r>
      <w:r>
        <w:t xml:space="preserve"> </w:t>
      </w:r>
      <w:r>
        <w:rPr>
          <w:bCs/>
          <w:b/>
        </w:rPr>
        <w:t xml:space="preserve">[CROSS]</w:t>
      </w:r>
    </w:p>
    <w:bookmarkEnd w:id="123"/>
    <w:bookmarkStart w:id="124" w:name="sys-rev-pub-bias"/>
    <w:p>
      <w:pPr>
        <w:pStyle w:val="Heading3"/>
      </w:pPr>
      <w:r>
        <w:t xml:space="preserve">Publication bias</w:t>
      </w:r>
    </w:p>
    <w:p>
      <w:pPr>
        <w:numPr>
          <w:ilvl w:val="0"/>
          <w:numId w:val="1010"/>
        </w:numPr>
        <w:pStyle w:val="Compact"/>
      </w:pPr>
      <w:r>
        <w:t xml:space="preserve">Check if there are protocols available for any of the published reports (unlikely for non-randomised controlled trials), and whether there were</w:t>
      </w:r>
    </w:p>
    <w:p>
      <w:pPr>
        <w:numPr>
          <w:ilvl w:val="0"/>
          <w:numId w:val="1010"/>
        </w:numPr>
        <w:pStyle w:val="Compact"/>
      </w:pPr>
      <w:r>
        <w:t xml:space="preserve">Vascular dementia has substantially less published reports. Many (reference Smeeth et al 2010 here) simply group into AD and non-AD making comparison between published studies difficult</w:t>
      </w:r>
    </w:p>
    <w:p>
      <w:pPr>
        <w:pStyle w:val="FirstParagraph"/>
      </w:pPr>
      <w:r>
        <w:t xml:space="preserve">One particularly interesting meta-bias potentially applicable in this review is the definition of code lists across</w:t>
      </w:r>
    </w:p>
    <w:p>
      <w:pPr>
        <w:pStyle w:val="BodyText"/>
      </w:pPr>
      <w:r>
        <w:t xml:space="preserve">Many studies did not report the codelists used to run the analysis,</w:t>
      </w:r>
    </w:p>
    <w:bookmarkEnd w:id="124"/>
    <w:bookmarkStart w:id="125" w:name="triangualtion-across-evidence-sources"/>
    <w:p>
      <w:pPr>
        <w:pStyle w:val="Heading3"/>
      </w:pPr>
      <w:r>
        <w:t xml:space="preserve">Triangualtion across evidence sources</w:t>
      </w:r>
    </w:p>
    <w:p>
      <w:pPr>
        <w:pStyle w:val="FirstParagraph"/>
      </w:pPr>
      <w:r>
        <w:t xml:space="preserve">One key question for which multiple distinct sources of evidence were available were those looking at Laz</w:t>
      </w:r>
    </w:p>
    <w:p>
      <w:pPr>
        <w:pStyle w:val="BodyText"/>
      </w:pPr>
      <w:r>
        <w:t xml:space="preserve">A key limitation for other types of dementia, in particularly vascular, is that there has yet to be a GWAS identifying relevant SNPS that could then be used in a MR study with SNPS for lipids to estimates the causal effect of lipids on vascular dementia [</w:t>
      </w:r>
      <w:r>
        <w:rPr>
          <w:bCs/>
          <w:b/>
        </w:rPr>
        <w:t xml:space="preserve">Is this true?</w:t>
      </w:r>
      <w:r>
        <w:t xml:space="preserve">] This rules out the use. In addition, there was limited literature available - as discussed in CHapter</w:t>
      </w:r>
      <w:r>
        <w:t xml:space="preserve"> </w:t>
      </w:r>
      <w:r>
        <w:t xml:space="preserve">??</w:t>
      </w:r>
    </w:p>
    <w:p>
      <w:pPr>
        <w:pStyle w:val="BodyText"/>
      </w:pPr>
      <w:r>
        <w:t xml:space="preserve">Consideration of the potential impact of the magnitude and direct of residual confounders/bias is not a major stretch from what is already happening in the assessment of the quality of evidence (GRADE) framework. Within GRADE, the overall quality of evidence can be upgraded when there is deemed to be unmeasured or residual confounding variables which reduce the. For example, if the propensity to treatment is related to comorbidity burden, but those on treatment still have better outcomes then those on control, it is likely that the true effect of the intervention is being underestimated.</w:t>
      </w:r>
      <w:hyperlink w:anchor="ref-guyatt2011">
        <w:r>
          <w:rPr>
            <w:rStyle w:val="Hyperlink"/>
            <w:vertAlign w:val="superscript"/>
          </w:rPr>
          <w:t xml:space="preserve">161</w:t>
        </w:r>
      </w:hyperlink>
    </w:p>
    <w:p>
      <w:pPr>
        <w:pStyle w:val="BodyText"/>
      </w:pPr>
      <w:r>
        <w:t xml:space="preserve">Without our framework and as part of the risk of bias assessments reported in</w:t>
      </w:r>
      <w:r>
        <w:t xml:space="preserve"> </w:t>
      </w:r>
      <w:r>
        <w:t xml:space="preserve">4.4.5</w:t>
      </w:r>
      <w:r>
        <w:t xml:space="preserve">, Itest test</w:t>
      </w:r>
    </w:p>
    <w:bookmarkEnd w:id="125"/>
    <w:bookmarkStart w:id="127" w:name="Xbdb1a29f256e9656c9ddc93f4c2c3c88af771c9"/>
    <w:p>
      <w:pPr>
        <w:pStyle w:val="Heading3"/>
      </w:pPr>
      <w:r>
        <w:t xml:space="preserve">Added evidental value of including preprints {sys-rev-including-preprints}</w:t>
      </w:r>
    </w:p>
    <w:p>
      <w:pPr>
        <w:pStyle w:val="FirstParagraph"/>
      </w:pPr>
      <w:r>
        <w:t xml:space="preserve">There were several relevant preprints captured by the search run using the tool presented in Chapter</w:t>
      </w:r>
      <w:r>
        <w:t xml:space="preserve"> </w:t>
      </w:r>
      <w:r>
        <w:t xml:space="preserve">3</w:t>
      </w:r>
      <w:r>
        <w:t xml:space="preserve"> </w:t>
      </w:r>
      <w:r>
        <w:t xml:space="preserve">(see Appendix</w:t>
      </w:r>
      <w:r>
        <w:t xml:space="preserve"> </w:t>
      </w:r>
      <w:r>
        <w:t xml:space="preserve">9.2.3</w:t>
      </w:r>
      <w:r>
        <w:t xml:space="preserve">). While many of the preprints included were subsequently published by the time of submission of this thesis, at the time of the search they were only available</w:t>
      </w:r>
    </w:p>
    <w:p>
      <w:pPr>
        <w:pStyle w:val="BodyText"/>
      </w:pPr>
      <w:r>
        <w:t xml:space="preserve">Good example is</w:t>
      </w:r>
      <w:r>
        <w:t xml:space="preserve"> </w:t>
      </w:r>
      <w:hyperlink r:id="rId126">
        <w:r>
          <w:rPr>
            <w:rStyle w:val="Hyperlink"/>
          </w:rPr>
          <w:t xml:space="preserve">https://doi.org/10.1101/168674</w:t>
        </w:r>
      </w:hyperlink>
      <w:r>
        <w:t xml:space="preserve">, which was subsequently published in Nature Comms but in 2020, following peer-review (found no impact of LDL-c on AD following removal of APOE4).</w:t>
      </w:r>
    </w:p>
    <w:p>
      <w:pPr>
        <w:pStyle w:val="BodyText"/>
      </w:pPr>
      <w:r>
        <w:t xml:space="preserve">Of interest,</w:t>
      </w:r>
    </w:p>
    <w:p>
      <w:pPr>
        <w:pStyle w:val="BodyText"/>
      </w:pPr>
      <w:r>
        <w:t xml:space="preserve">This likely reflects a bias in the type of study that is submitted, but indicates the additional evidential value of include preprints in the search strategy. It also means that searches are current - if the aim of systematic reviews is to</w:t>
      </w:r>
    </w:p>
    <w:p>
      <w:pPr>
        <w:pStyle w:val="BodyText"/>
      </w:pPr>
      <w:r>
        <w:t xml:space="preserve">While the total number of relevant studies found using this method was</w:t>
      </w:r>
    </w:p>
    <w:p>
      <w:pPr>
        <w:pStyle w:val="BodyText"/>
      </w:pPr>
      <w:r>
        <w:t xml:space="preserve">On further investigation, the argument that .</w:t>
      </w:r>
    </w:p>
    <w:p>
      <w:pPr>
        <w:pStyle w:val="BodyText"/>
      </w:pPr>
      <w:r>
        <w:t xml:space="preserve">It is not so much that they provide a source of unpublished grey-literature, more so that they provide a</w:t>
      </w:r>
      <w:r>
        <w:t xml:space="preserve"> </w:t>
      </w:r>
      <w:r>
        <w:t xml:space="preserve">“</w:t>
      </w:r>
      <w:r>
        <w:t xml:space="preserve">future</w:t>
      </w:r>
      <w:r>
        <w:t xml:space="preserve">”</w:t>
      </w:r>
      <w:r>
        <w:t xml:space="preserve"> </w:t>
      </w:r>
      <w:r>
        <w:t xml:space="preserve">look at .</w:t>
      </w:r>
    </w:p>
    <w:p>
      <w:pPr>
        <w:pStyle w:val="BodyText"/>
      </w:pPr>
      <w:r>
        <w:t xml:space="preserve">However, if the aim is to find the current state of the art in the topic area at the time of searching, inclusion of preprints is a requirement.</w:t>
      </w:r>
    </w:p>
    <w:p>
      <w:pPr>
        <w:pStyle w:val="BodyText"/>
      </w:pPr>
      <w:r>
        <w:t xml:space="preserve">While concerns have been raised that</w:t>
      </w:r>
    </w:p>
    <w:p>
      <w:pPr>
        <w:pStyle w:val="BodyText"/>
      </w:pPr>
      <w:r>
        <w:t xml:space="preserve">Previous meta-studies have found high concordance between the main interpretations and other study design details in preprint-journal article pairs,</w:t>
      </w:r>
      <w:hyperlink w:anchor="ref-shi2021">
        <w:r>
          <w:rPr>
            <w:rStyle w:val="Hyperlink"/>
            <w:vertAlign w:val="superscript"/>
          </w:rPr>
          <w:t xml:space="preserve">162</w:t>
        </w:r>
      </w:hyperlink>
      <w:r>
        <w:t xml:space="preserve"> </w:t>
      </w:r>
      <w:r>
        <w:t xml:space="preserve">though quality of reporting was slightly better in formally published articles.</w:t>
      </w:r>
      <w:hyperlink w:anchor="ref-carneiro2020">
        <w:r>
          <w:rPr>
            <w:rStyle w:val="Hyperlink"/>
            <w:vertAlign w:val="superscript"/>
          </w:rPr>
          <w:t xml:space="preserve">163</w:t>
        </w:r>
      </w:hyperlink>
    </w:p>
    <w:p>
      <w:pPr>
        <w:pStyle w:val="BodyText"/>
      </w:pPr>
      <w:r>
        <w:t xml:space="preserve">A common criticism of preprinted articles is that they have not formally been peer-reviewed.</w:t>
      </w:r>
      <w:r>
        <w:t xml:space="preserve"> </w:t>
      </w:r>
      <w:r>
        <w:rPr>
          <w:bCs/>
          <w:b/>
        </w:rPr>
        <w:t xml:space="preserve">[CITATION NEEDED]</w:t>
      </w:r>
      <w:r>
        <w:t xml:space="preserve"> </w:t>
      </w:r>
      <w:r>
        <w:t xml:space="preserve">However, I believe this criticism is less warranted in the context of inclusion of preprints in a systematic review, given a formal assessment of risk of bias, which provides a structured approach to assessing the internal validity of a study.</w:t>
      </w:r>
    </w:p>
    <w:p>
      <w:pPr>
        <w:pStyle w:val="BlockText"/>
      </w:pPr>
      <w:r>
        <w:t xml:space="preserve">Anyone who can’t assess a study to the level of peer review shouldn’t do a systematic review</w:t>
      </w:r>
    </w:p>
    <w:p>
      <w:pPr>
        <w:pStyle w:val="FirstParagraph"/>
      </w:pPr>
      <w:r>
        <w:t xml:space="preserve">References included in the review were also searched for on PubPeer, a platform which enables post-publication peer review of published journal articles.</w:t>
      </w:r>
      <w:hyperlink w:anchor="ref-hunter2012">
        <w:r>
          <w:rPr>
            <w:rStyle w:val="Hyperlink"/>
            <w:vertAlign w:val="superscript"/>
          </w:rPr>
          <w:t xml:space="preserve">164</w:t>
        </w:r>
      </w:hyperlink>
    </w:p>
    <w:p>
      <w:pPr>
        <w:pStyle w:val="BodyText"/>
      </w:pPr>
      <w:r>
        <w:t xml:space="preserve">The added value of peer-review to papers that is questionable and difficult to quantify for a number of reasons, including the fact that most peer reviews are closed</w:t>
      </w:r>
    </w:p>
    <w:p>
      <w:pPr>
        <w:pStyle w:val="BodyText"/>
      </w:pPr>
      <w:r>
        <w:t xml:space="preserve">While [</w:t>
      </w:r>
      <w:r>
        <w:rPr>
          <w:bCs/>
          <w:b/>
        </w:rPr>
        <w:t xml:space="preserve">some</w:t>
      </w:r>
      <w:r>
        <w:t xml:space="preserve">] preprint have subsequently been published, this does not cause any major issues.</w:t>
      </w:r>
    </w:p>
    <w:bookmarkEnd w:id="127"/>
    <w:bookmarkEnd w:id="128"/>
    <w:bookmarkStart w:id="140" w:name="discussion-1"/>
    <w:p>
      <w:pPr>
        <w:pStyle w:val="Heading2"/>
      </w:pPr>
      <w:r>
        <w:t xml:space="preserve">Discussion</w:t>
      </w:r>
    </w:p>
    <w:p>
      <w:pPr>
        <w:pStyle w:val="FirstParagraph"/>
      </w:pPr>
      <w:r>
        <w:t xml:space="preserve">Major limitation is that several included studies used data from electronic health databases, which come with serious concerns regarding validity</w:t>
      </w:r>
      <w:hyperlink w:anchor="ref-hsieh2019">
        <w:r>
          <w:rPr>
            <w:rStyle w:val="Hyperlink"/>
            <w:vertAlign w:val="superscript"/>
          </w:rPr>
          <w:t xml:space="preserve">165</w:t>
        </w:r>
      </w:hyperlink>
      <w:r>
        <w:t xml:space="preserve"> </w:t>
      </w:r>
      <w:hyperlink w:anchor="ref-mcguinness2019d">
        <w:r>
          <w:rPr>
            <w:rStyle w:val="Hyperlink"/>
            <w:vertAlign w:val="superscript"/>
          </w:rPr>
          <w:t xml:space="preserve">166</w:t>
        </w:r>
      </w:hyperlink>
      <w:r>
        <w:rPr>
          <w:vertAlign w:val="superscript"/>
        </w:rPr>
        <w:t xml:space="preserve">,</w:t>
      </w:r>
      <w:hyperlink w:anchor="ref-wilkinson2018b">
        <w:r>
          <w:rPr>
            <w:rStyle w:val="Hyperlink"/>
            <w:vertAlign w:val="superscript"/>
          </w:rPr>
          <w:t xml:space="preserve">167</w:t>
        </w:r>
      </w:hyperlink>
    </w:p>
    <w:p>
      <w:pPr>
        <w:pStyle w:val="BodyText"/>
      </w:pPr>
      <w:r>
        <w:t xml:space="preserve">In addition, the a</w:t>
      </w:r>
    </w:p>
    <w:bookmarkStart w:id="129" w:name="previous-reviews"/>
    <w:p>
      <w:pPr>
        <w:pStyle w:val="Heading3"/>
      </w:pPr>
      <w:r>
        <w:t xml:space="preserve">Previous reviews</w:t>
      </w:r>
    </w:p>
    <w:p>
      <w:pPr>
        <w:pStyle w:val="FirstParagraph"/>
      </w:pPr>
      <w:r>
        <w:rPr>
          <w:bCs/>
          <w:b/>
        </w:rPr>
        <w:t xml:space="preserve">Will need to include something in the methods section on this</w:t>
      </w:r>
    </w:p>
    <w:p>
      <w:pPr>
        <w:pStyle w:val="BodyText"/>
      </w:pPr>
      <w:r>
        <w:t xml:space="preserve">As part of this analysis, Iexamined the overlap between different published reviews on this topic.</w:t>
      </w:r>
    </w:p>
    <w:p>
      <w:pPr>
        <w:pStyle w:val="BodyText"/>
      </w:pPr>
      <w:r>
        <w:t xml:space="preserve">Several primary studies were captured in multiple systematic reviews. However, some studies were not captured by any previous review,</w:t>
      </w:r>
    </w:p>
    <w:p>
      <w:pPr>
        <w:pStyle w:val="BodyText"/>
      </w:pPr>
      <w:r>
        <w:t xml:space="preserve">An upset plot shows the total size of each set (in this case, the set of included studies in each review) in the bottom left hand bar plot. For example, the XXXX review includes XXXX studies.</w:t>
      </w:r>
    </w:p>
    <w:p>
      <w:pPr>
        <w:pStyle w:val="BodyText"/>
      </w:pPr>
      <w:r>
        <w:t xml:space="preserve">Where a line joins two points in the matrix, the main barchart shows the number of records shared by these reviews. So for example, XXXX records were captured both by the XXXX review and the XXXX review.</w:t>
      </w:r>
    </w:p>
    <w:p>
      <w:pPr>
        <w:pStyle w:val="BodyText"/>
      </w:pPr>
      <w:r>
        <w:t xml:space="preserve">Where the matrix has just a single point highlighted, this shows the records unique to that review.</w:t>
      </w:r>
    </w:p>
    <w:p>
      <w:pPr>
        <w:pStyle w:val="BodyText"/>
      </w:pPr>
      <w:r>
        <w:t xml:space="preserve">The reviews are ordered by date, to attempt to show the increasing overlap and total number of studies</w:t>
      </w:r>
    </w:p>
    <w:p>
      <w:pPr>
        <w:pStyle w:val="BodyText"/>
      </w:pPr>
      <w:r>
        <w:t xml:space="preserve">Our review is presented as the last point on this plot, and captured XXXX records</w:t>
      </w:r>
    </w:p>
    <w:p>
      <w:pPr>
        <w:pStyle w:val="BodyText"/>
      </w:pPr>
      <w:r>
        <w:t xml:space="preserve">The alternative is to have a barplot showing the total cumulative number of records over the years, using our set as the master, with the bars coloured by the number of records included in 1/2/3/4 reviews. The information below the bar axis could then show the number of reviews published in that year, or alternative, you could have an upsidedown bar to show cumulative number of reviews on this topic.</w:t>
      </w:r>
    </w:p>
    <w:p>
      <w:pPr>
        <w:pStyle w:val="BodyText"/>
      </w:pPr>
      <w:r>
        <w:t xml:space="preserve">Of note, this review did not include the commonly cited PROSPER study, which examined the effect of pravastatin on CVD risk and putatively provides no evidence for an effect of the statin on dementia outcomes. While widely cited and included in the Cochrane review on this topic, it has not been included here, for the reason that it only reported the change from cognitive score (as measured using the [CHECK] scale) over a mean follow-up. While this is a useful indicator of general cognitive decline, it is not equivalent to a dementia outcome, as cogntive scales should feed into a broader diagnostic pathway - See section</w:t>
      </w:r>
      <w:r>
        <w:t xml:space="preserve"> </w:t>
      </w:r>
      <w:r>
        <w:t xml:space="preserve">2.3.2</w:t>
      </w:r>
    </w:p>
    <w:p>
      <w:pPr>
        <w:pStyle w:val="BodyText"/>
      </w:pPr>
      <w:r>
        <w:t xml:space="preserve">This does introduce some conflicts with other studies where a change score has been dichotomised in order to have a binary dementia or not dementia outcome.</w:t>
      </w:r>
    </w:p>
    <w:p>
      <w:pPr>
        <w:pStyle w:val="BodyText"/>
      </w:pPr>
      <w:r>
        <w:t xml:space="preserve">Does it also cause issues in terms of self-report?</w:t>
      </w:r>
    </w:p>
    <w:bookmarkEnd w:id="129"/>
    <w:bookmarkStart w:id="130" w:name="comments-on-the-process"/>
    <w:p>
      <w:pPr>
        <w:pStyle w:val="Heading3"/>
      </w:pPr>
      <w:r>
        <w:t xml:space="preserve">Comments on the process</w:t>
      </w:r>
    </w:p>
    <w:p>
      <w:pPr>
        <w:pStyle w:val="FirstParagraph"/>
      </w:pPr>
      <w:r>
        <w:t xml:space="preserve">As part of the reflective element of this thesis,</w:t>
      </w:r>
    </w:p>
    <w:p>
      <w:pPr>
        <w:pStyle w:val="BodyText"/>
      </w:pPr>
      <w:r>
        <w:t xml:space="preserve">Systematic reviews should not be performed as part of a thesis, without suitable support and resourcing guaranteed. Assumption that everyone does a systematic review (without risk of bias assessments, inclusion of all literature, searching for other reviews) is foolish.</w:t>
      </w:r>
    </w:p>
    <w:p>
      <w:pPr>
        <w:pStyle w:val="BodyText"/>
      </w:pPr>
      <w:r>
        <w:t xml:space="preserve">Average time to complete a s</w:t>
      </w:r>
    </w:p>
    <w:p>
      <w:pPr>
        <w:pStyle w:val="BodyText"/>
      </w:pPr>
      <w:r>
        <w:t xml:space="preserve">However, new developments such as automated screening would allow for a reduced need for personnel to work on these things.</w:t>
      </w:r>
      <w:r>
        <w:t xml:space="preserve"> </w:t>
      </w:r>
    </w:p>
    <w:p>
      <w:pPr>
        <w:pStyle w:val="BodyText"/>
      </w:pPr>
      <w:r>
        <w:t xml:space="preserve">Great learning experience in terms of managing a team, but due to a rotating schedule of people, much harder to do that expected.</w:t>
      </w:r>
    </w:p>
    <w:p>
      <w:pPr>
        <w:pStyle w:val="BodyText"/>
      </w:pPr>
      <w:r>
        <w:t xml:space="preserve">A final point on the progress of the review is that, due to the need for dual screening and data extraction, a number of external researchers became involved in this review. I found the people-management aspect particularly challenging and could definitely have improved the process through better communication of deadlines, but it has provided good experience of leading a review team.</w:t>
      </w:r>
    </w:p>
    <w:bookmarkEnd w:id="130"/>
    <w:bookmarkStart w:id="131" w:name="inclusion-of-preprints"/>
    <w:p>
      <w:pPr>
        <w:pStyle w:val="Heading3"/>
      </w:pPr>
      <w:r>
        <w:t xml:space="preserve">Inclusion of preprints</w:t>
      </w:r>
    </w:p>
    <w:p>
      <w:pPr>
        <w:pStyle w:val="FirstParagraph"/>
      </w:pPr>
      <w:r>
        <w:t xml:space="preserve">As highlighted in Section</w:t>
      </w:r>
      <w:r>
        <w:t xml:space="preserve"> </w:t>
      </w:r>
      <w:r>
        <w:t xml:space="preserve">2.6.1</w:t>
      </w:r>
      <w:r>
        <w:t xml:space="preserve">, this thesis sought to syntheze evidence across different publication statuses, predominantly preprinted. Using the tool described in Chapter @ref(), two preprint serves related to health and biomedical sciences were search as part of this review.</w:t>
      </w:r>
    </w:p>
    <w:p>
      <w:pPr>
        <w:pStyle w:val="BodyText"/>
      </w:pPr>
      <w:r>
        <w:t xml:space="preserve">The added evidental value of including these preprints was highlighted in Section</w:t>
      </w:r>
    </w:p>
    <w:p>
      <w:pPr>
        <w:pStyle w:val="BodyText"/>
      </w:pPr>
      <w:r>
        <w:t xml:space="preserve">On further investigation, X of these preprints were subsequently published since the search was performed in 2019. While this provides some additional evidence that the quality of the research desribed by included preprints was sufficiently high to pass peer-review, it does not invalidate the approach, as the future publication status was unavaialble at the time the search was conducted.</w:t>
      </w:r>
    </w:p>
    <w:bookmarkEnd w:id="131"/>
    <w:bookmarkStart w:id="132" w:name="sys-rev-open-data"/>
    <w:p>
      <w:pPr>
        <w:pStyle w:val="Heading3"/>
      </w:pPr>
      <w:r>
        <w:t xml:space="preserve">Open data sharing</w:t>
      </w:r>
    </w:p>
    <w:bookmarkEnd w:id="132"/>
    <w:bookmarkStart w:id="133" w:name="original-contribution-to-research"/>
    <w:p>
      <w:pPr>
        <w:pStyle w:val="Heading3"/>
      </w:pPr>
      <w:r>
        <w:t xml:space="preserve">Original contribution to research</w:t>
      </w:r>
    </w:p>
    <w:p>
      <w:pPr>
        <w:pStyle w:val="FirstParagraph"/>
      </w:pPr>
      <w:r>
        <w:t xml:space="preserve">I believe there are three aspects where this review is distinct from those reviews already available in the published literature (as identified by</w:t>
      </w:r>
      <w:r>
        <w:t xml:space="preserve"> </w:t>
      </w:r>
      <w:r>
        <w:rPr>
          <w:bCs/>
          <w:b/>
        </w:rPr>
        <w:t xml:space="preserve">[CITATION NEEDED]</w:t>
      </w:r>
      <w:r>
        <w:t xml:space="preserve">):</w:t>
      </w:r>
    </w:p>
    <w:p>
      <w:pPr>
        <w:numPr>
          <w:ilvl w:val="0"/>
          <w:numId w:val="1011"/>
        </w:numPr>
        <w:pStyle w:val="Compact"/>
      </w:pPr>
      <w:r>
        <w:rPr>
          <w:iCs/>
          <w:i/>
        </w:rPr>
        <w:t xml:space="preserve">Comprehensiveness:</w:t>
      </w:r>
      <w:r>
        <w:t xml:space="preserve"> </w:t>
      </w:r>
      <w:r>
        <w:t xml:space="preserve">While several reviews of this research topic exist,</w:t>
      </w:r>
      <w:hyperlink w:anchor="ref-chu2018b">
        <w:r>
          <w:rPr>
            <w:rStyle w:val="Hyperlink"/>
            <w:vertAlign w:val="superscript"/>
          </w:rPr>
          <w:t xml:space="preserve">63</w:t>
        </w:r>
      </w:hyperlink>
      <w:r>
        <w:rPr>
          <w:vertAlign w:val="superscript"/>
        </w:rPr>
        <w:t xml:space="preserve">,</w:t>
      </w:r>
      <w:hyperlink w:anchor="ref-yang2020">
        <w:r>
          <w:rPr>
            <w:rStyle w:val="Hyperlink"/>
            <w:vertAlign w:val="superscript"/>
          </w:rPr>
          <w:t xml:space="preserve">168</w:t>
        </w:r>
      </w:hyperlink>
      <w:r>
        <w:rPr>
          <w:vertAlign w:val="superscript"/>
        </w:rPr>
        <w:t xml:space="preserve">–</w:t>
      </w:r>
      <w:hyperlink w:anchor="ref-poly2020b">
        <w:r>
          <w:rPr>
            <w:rStyle w:val="Hyperlink"/>
            <w:vertAlign w:val="superscript"/>
          </w:rPr>
          <w:t xml:space="preserve">170</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p>
    <w:p>
      <w:pPr>
        <w:numPr>
          <w:ilvl w:val="0"/>
          <w:numId w:val="1011"/>
        </w:numPr>
        <w:pStyle w:val="Compact"/>
      </w:pPr>
      <w:r>
        <w:rPr>
          <w:iCs/>
          <w:i/>
        </w:rPr>
        <w:t xml:space="preserve">Structured risk of bias assessment:</w:t>
      </w:r>
      <w:r>
        <w:t xml:space="preserve"> </w:t>
      </w:r>
      <w:r>
        <w:t xml:space="preserve">The majority of the highly cited reviews on this topic either do not formally consider the risk of bias in the observational studies they include or do not use an appropriate domain-based assessment tool (e.g. ROBINS-I/E). This is important area in which this thesis can add value, as based on the risk-of-bias assessments I have performed to date, several primary studies are at high risk of bias and this should be reflected in the findings of any review on this topic.</w:t>
      </w:r>
    </w:p>
    <w:p>
      <w:pPr>
        <w:numPr>
          <w:ilvl w:val="0"/>
          <w:numId w:val="1011"/>
        </w:numPr>
        <w:pStyle w:val="Compact"/>
      </w:pPr>
      <w:r>
        <w:rPr>
          <w:iCs/>
          <w:i/>
        </w:rPr>
        <w:t xml:space="preserve">Inclusion of preprints:</w:t>
      </w:r>
      <w:r>
        <w:t xml:space="preserve"> </w:t>
      </w:r>
      <w:r>
        <w:t xml:space="preserve">Unlike other available reviews and enabled by the tool described in Chapter 3, this review systematically searched preprinted health-related manuscripts as a source of grey literature. As part of this chapter, I plan to examine the extent of the additional information provided to the review by the inclusion of preprints.</w:t>
      </w:r>
    </w:p>
    <w:bookmarkEnd w:id="133"/>
    <w:bookmarkStart w:id="134" w:name="comparison-with-other-reviews"/>
    <w:p>
      <w:pPr>
        <w:pStyle w:val="Heading3"/>
      </w:pPr>
      <w:r>
        <w:t xml:space="preserve">Comparison with other reviews</w:t>
      </w:r>
    </w:p>
    <w:p>
      <w:pPr>
        <w:pStyle w:val="FirstParagraph"/>
      </w:pPr>
      <w:r>
        <w:t xml:space="preserve">Of note, as part of the review, Iidentified several previous systematic reviews of this topic.[CITE] However, this review is the first to use established domain based assessments tools (for example, the RoB 2 tool for randomized controlled trials)</w:t>
      </w:r>
      <w:hyperlink w:anchor="ref-sterne2019">
        <w:r>
          <w:rPr>
            <w:rStyle w:val="Hyperlink"/>
            <w:vertAlign w:val="superscript"/>
          </w:rPr>
          <w:t xml:space="preserve">153</w:t>
        </w:r>
      </w:hyperlink>
      <w:r>
        <w:t xml:space="preserve"> </w:t>
      </w:r>
      <w:r>
        <w:t xml:space="preserve">to assess the risk of bias in included studies, and explore the heterogeneity of results across different levels of risk of bias levels.</w:t>
      </w:r>
    </w:p>
    <w:p>
      <w:pPr>
        <w:pStyle w:val="BodyText"/>
      </w:pPr>
      <w:r>
        <w:t xml:space="preserve">Some previous reviews did assess risk of bias, but used non-domain based assessment tools. Newcastle-Ottowa scale,</w:t>
      </w:r>
    </w:p>
    <w:p>
      <w:pPr>
        <w:pStyle w:val="BodyText"/>
      </w:pPr>
      <w:r>
        <w:rPr>
          <w:bCs/>
          <w:b/>
        </w:rPr>
        <w:t xml:space="preserve">The duplication of work across reviews (including, ironically, by this review) is substantial. In Section XXXX, I demonstrated that the each primary study included in this review was also included in other review so this topic, but that not all studies were included in all reviews. However, by creating a comprehensive review that attempted to draw together all available evidence from across the full range of study types.</w:t>
      </w:r>
    </w:p>
    <w:p>
      <w:pPr>
        <w:pStyle w:val="BodyText"/>
      </w:pPr>
      <w:r>
        <w:rPr>
          <w:bCs/>
          <w:b/>
        </w:rPr>
        <w:t xml:space="preserve">Exclusion of the PROSPER trial</w:t>
      </w:r>
      <w:r>
        <w:t xml:space="preserve"> </w:t>
      </w:r>
      <w:r>
        <w:t xml:space="preserve">Will need to have a good bit here on the exclusion of this RCT, particularly as it is included in the Cochrane review on the topic. Cross-reference with the meta-bias section in the early section, on the impact of only included studies that sought to make a definitive diagnosis, rather than using change in cognitive assessment scales.</w:t>
      </w:r>
    </w:p>
    <w:bookmarkEnd w:id="134"/>
    <w:bookmarkStart w:id="135" w:name="Xb45d076476d8fee69005c600a0a1efa0ac1e9ca"/>
    <w:p>
      <w:pPr>
        <w:pStyle w:val="Heading3"/>
      </w:pPr>
      <w:r>
        <w:t xml:space="preserve">Reviewing Mendelian randomisations studies</w:t>
      </w:r>
    </w:p>
    <w:p>
      <w:pPr>
        <w:pStyle w:val="FirstParagraph"/>
      </w:pPr>
      <w:r>
        <w:t xml:space="preserve">While</w:t>
      </w:r>
    </w:p>
    <w:p>
      <w:pPr>
        <w:pStyle w:val="BodyText"/>
      </w:pPr>
      <w:r>
        <w:t xml:space="preserve">This may be because Mendelian randomisation studies have yet to reach a critical mass in terms of requiring a systematic review.</w:t>
      </w:r>
    </w:p>
    <w:p>
      <w:pPr>
        <w:pStyle w:val="BodyText"/>
      </w:pPr>
      <w:r>
        <w:t xml:space="preserve">Recent updates, such as a guide to reading and interpreting. However, this guide includes reporting items in their quality checklist - reporting quality while important, is unrelated to internal validity.</w:t>
      </w:r>
    </w:p>
    <w:p>
      <w:pPr>
        <w:pStyle w:val="BodyText"/>
      </w:pPr>
      <w:r>
        <w:t xml:space="preserve">Problems with overlapping samples in reviews of Mendelian randomisation studies in that Imay be double counting participants - for</w:t>
      </w:r>
    </w:p>
    <w:p>
      <w:pPr>
        <w:pStyle w:val="BodyText"/>
      </w:pPr>
      <w:r>
        <w:t xml:space="preserve">Methods for reviews of Mendelian randomisation studies are not well developed to account for the consideration above.</w:t>
      </w:r>
    </w:p>
    <w:bookmarkEnd w:id="135"/>
    <w:bookmarkStart w:id="138" w:name="strenghts-and-limitations"/>
    <w:p>
      <w:pPr>
        <w:pStyle w:val="Heading3"/>
      </w:pPr>
      <w:r>
        <w:t xml:space="preserve">Strenghts and limitations</w:t>
      </w:r>
    </w:p>
    <w:bookmarkStart w:id="136" w:name="Xc1b98a3f3ba170dc392ae73416bb108b436cbcb"/>
    <w:p>
      <w:pPr>
        <w:pStyle w:val="Heading4"/>
      </w:pPr>
      <w:r>
        <w:t xml:space="preserve">Inclusion of Mendelian randomisation studies</w:t>
      </w:r>
    </w:p>
    <w:p>
      <w:pPr>
        <w:pStyle w:val="FirstParagraph"/>
      </w:pPr>
      <w:r>
        <w:t xml:space="preserve">As a form of analysis that lends itself to multiple comparison, there is a strong</w:t>
      </w:r>
    </w:p>
    <w:p>
      <w:pPr>
        <w:pStyle w:val="BodyText"/>
      </w:pPr>
      <w:r>
        <w:t xml:space="preserve">Through snowballing and other measures, I identified at least one Mendelian randomisation study that had not been identified by the search strategy.</w:t>
      </w:r>
      <w:hyperlink w:anchor="ref-larsson2017b">
        <w:r>
          <w:rPr>
            <w:rStyle w:val="Hyperlink"/>
            <w:vertAlign w:val="superscript"/>
          </w:rPr>
          <w:t xml:space="preserve">171</w:t>
        </w:r>
      </w:hyperlink>
      <w:r>
        <w:t xml:space="preserve"> </w:t>
      </w:r>
      <w:r>
        <w:t xml:space="preserve">On review of this paper, the search would not have been expected to find it, given the absence of any lipid-related keywords in the title and abstract.</w:t>
      </w:r>
      <w:r>
        <w:t xml:space="preserve"> </w:t>
      </w:r>
      <w:r>
        <w:t xml:space="preserve">The study examined the association between lipid fractions with Azlheimer’s disease, as one of many risk factors for AzD. Studies such as this can introduce bias, as it is commonly only those risk factors that show a statistically significant result that are reported in the abstract and so are captured by systematic reviews of the topic. This may bias reviews as the analysising multiple risk factors at a time becomes more common.</w:t>
      </w:r>
    </w:p>
    <w:p>
      <w:pPr>
        <w:pStyle w:val="BodyText"/>
      </w:pPr>
      <w:r>
        <w:t xml:space="preserve">Is it a big issue that the studies have the same underlying datasets?</w:t>
      </w:r>
      <w:r>
        <w:t xml:space="preserve"> </w:t>
      </w:r>
    </w:p>
    <w:p>
      <w:pPr>
        <w:pStyle w:val="BodyText"/>
      </w:pPr>
      <w:r>
        <w:t xml:space="preserve">Potentially the use of methods such as snowballing (forwards and backwards citation chasing) and communication with relevant topic experts should cpature similar studies.</w:t>
      </w:r>
      <w:r>
        <w:t xml:space="preserve"> </w:t>
      </w:r>
      <w:r>
        <w:t xml:space="preserve">However, in future better-resourced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w:t>
      </w:r>
      <w:r>
        <w:t xml:space="preserve"> </w:t>
      </w:r>
      <w:r>
        <w:t xml:space="preserve">“</w:t>
      </w:r>
      <w:r>
        <w:t xml:space="preserve">Mendelian randomisation</w:t>
      </w:r>
      <w:r>
        <w:t xml:space="preserve">”</w:t>
      </w:r>
      <w:r>
        <w:t xml:space="preserve">, followed by manual review of studies that look across multiple risk factors, would be advisable.</w:t>
      </w:r>
    </w:p>
    <w:bookmarkEnd w:id="136"/>
    <w:bookmarkStart w:id="137" w:name="inclusion-of-preprints-1"/>
    <w:p>
      <w:pPr>
        <w:pStyle w:val="Heading4"/>
      </w:pPr>
      <w:r>
        <w:t xml:space="preserve">Inclusion of preprints</w:t>
      </w:r>
    </w:p>
    <w:p>
      <w:pPr>
        <w:pStyle w:val="FirstParagraph"/>
      </w:pPr>
      <w:r>
        <w:t xml:space="preserve">Comment on the fact that several of the studies identified through the search of preprints, were subsequently published, but much later than the</w:t>
      </w:r>
      <w:r>
        <w:t xml:space="preserve"> </w:t>
      </w:r>
      <w:r>
        <w:t xml:space="preserve">cut-off point for the search (e.g. they would not have been captured by the search for published papers)</w:t>
      </w:r>
    </w:p>
    <w:bookmarkEnd w:id="137"/>
    <w:bookmarkEnd w:id="138"/>
    <w:bookmarkStart w:id="139" w:name="use-in-other-chapters"/>
    <w:p>
      <w:pPr>
        <w:pStyle w:val="Heading3"/>
      </w:pPr>
      <w:r>
        <w:t xml:space="preserve">Use in other chapters</w:t>
      </w:r>
    </w:p>
    <w:p>
      <w:pPr>
        <w:pStyle w:val="FirstParagraph"/>
      </w:pPr>
      <w:r>
        <w:t xml:space="preserve">Findings from this review are used though out the subsequent chapters.</w:t>
      </w:r>
    </w:p>
    <w:p>
      <w:pPr>
        <w:pStyle w:val="BodyText"/>
      </w:pPr>
      <w:r>
        <w:t xml:space="preserve">For example,</w:t>
      </w:r>
    </w:p>
    <w:bookmarkEnd w:id="139"/>
    <w:bookmarkEnd w:id="140"/>
    <w:bookmarkStart w:id="141" w:name="references-2"/>
    <w:p>
      <w:pPr>
        <w:pStyle w:val="Heading2"/>
      </w:pPr>
      <w:r>
        <w:t xml:space="preserve">References</w:t>
      </w:r>
    </w:p>
    <w:bookmarkEnd w:id="141"/>
    <w:bookmarkEnd w:id="142"/>
    <w:bookmarkStart w:id="194" w:name="cprd-analysis-heading"/>
    <w:p>
      <w:pPr>
        <w:pStyle w:val="Heading1"/>
      </w:pPr>
      <w:r>
        <w:t xml:space="preserve">Primary analysis of lipid regulating agents and dementia outcomes</w:t>
      </w:r>
    </w:p>
    <w:p>
      <w:pPr>
        <w:pStyle w:val="FirstParagraph"/>
      </w:pPr>
    </w:p>
    <w:bookmarkStart w:id="143" w:name="lay-summary-3"/>
    <w:p>
      <w:pPr>
        <w:pStyle w:val="Heading2"/>
      </w:pPr>
      <w:r>
        <w:t xml:space="preserve">Lay summary</w:t>
      </w:r>
    </w:p>
    <w:p>
      <w:pPr>
        <w:pStyle w:val="FirstParagraph"/>
      </w:pPr>
      <w:r>
        <w:t xml:space="preserve">Electronic health record (EHR) databases are large collections of patients data, used to manage patient administration and care. Under these systems, whenever a patient attends their GP, their clinical data is recorded in a central database using a standard set of codes.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the UK. Using this data, the analysis presented in this chapter examined the effect of treatment which lower cholesterol levels, such as statins, on the risk of dementia and related outcomes.</w:t>
      </w:r>
    </w:p>
    <w:p>
      <w:pPr>
        <w:pStyle w:val="BodyText"/>
      </w:pPr>
      <w:r>
        <w:t xml:space="preserve">No evidence for an effect of lipid regulating agents effect on the risk of Alzheimer’s disease was found, with the exception of a slightly increased risk in those prescribed a certain type of drugs called fibrates. In contrast, I found an increased risk of vascular and other (i.e. non-Alzheimer’s) dementia with lipid regulating agent use.</w:t>
      </w:r>
    </w:p>
    <w:p>
      <w:pPr>
        <w:pStyle w:val="BodyText"/>
      </w:pPr>
      <w:r>
        <w:t xml:space="preserve">This increased risk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and so it appears as if statins are harmful. However, despite this limitation, the analysis presented provides an important source of information which will be used in later chapters.</w:t>
      </w:r>
    </w:p>
    <w:p>
      <w:pPr>
        <w:pStyle w:val="BodyText"/>
      </w:pPr>
      <w:r>
        <w:t xml:space="preserve"> </w:t>
      </w:r>
    </w:p>
    <w:bookmarkEnd w:id="143"/>
    <w:bookmarkStart w:id="144" w:name="introduction-1"/>
    <w:p>
      <w:pPr>
        <w:pStyle w:val="Heading2"/>
      </w:pPr>
      <w:r>
        <w:t xml:space="preserve">Introduction</w:t>
      </w:r>
    </w:p>
    <w:p>
      <w:pPr>
        <w:pStyle w:val="FirstParagraph"/>
      </w:pPr>
      <w:r>
        <w:t xml:space="preserve">In this Chapter, I present the results of an analysis of a large population-based electronic health record dataset to investigate the relationship between lipid regulating agent (LRA) use and dementia outcomes.</w:t>
      </w:r>
    </w:p>
    <w:p>
      <w:pPr>
        <w:pStyle w:val="BodyText"/>
      </w:pPr>
      <w:r>
        <w:t xml:space="preserve">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 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time-varying treatment indicator. This approach provides a evidence source at risk of a distinct set of biases due to the alternative analytical strategy that will be incorporated into the triangulation exercise presented in Chapter</w:t>
      </w:r>
      <w:r>
        <w:t xml:space="preserve"> </w:t>
      </w:r>
      <w:r>
        <w:t xml:space="preserve">7</w:t>
      </w:r>
      <w:r>
        <w:t xml:space="preserve">.</w:t>
      </w:r>
    </w:p>
    <w:p>
      <w:pPr>
        <w:pStyle w:val="BodyText"/>
      </w:pPr>
      <w:r>
        <w:t xml:space="preserve"> </w:t>
      </w:r>
    </w:p>
    <w:bookmarkEnd w:id="144"/>
    <w:bookmarkStart w:id="164" w:name="methods-1"/>
    <w:p>
      <w:pPr>
        <w:pStyle w:val="Heading2"/>
      </w:pPr>
      <w:r>
        <w:t xml:space="preserve">Methods</w:t>
      </w:r>
    </w:p>
    <w:bookmarkStart w:id="145"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a">
        <w:r>
          <w:rPr>
            <w:rStyle w:val="Hyperlink"/>
            <w:vertAlign w:val="superscript"/>
          </w:rPr>
          <w:t xml:space="preserve">172</w:t>
        </w:r>
      </w:hyperlink>
      <w:r>
        <w:t xml:space="preserve"> </w:t>
      </w:r>
      <w:r>
        <w:t xml:space="preserve">and amendments to this are recorded in Appendix</w:t>
      </w:r>
      <w:r>
        <w:t xml:space="preserve"> </w:t>
      </w:r>
      <w:r>
        <w:t xml:space="preserve">9.3.1</w:t>
      </w:r>
      <w:r>
        <w:t xml:space="preserve">.</w:t>
      </w:r>
      <w:hyperlink w:anchor="ref-vonelm2008">
        <w:r>
          <w:rPr>
            <w:rStyle w:val="Hyperlink"/>
            <w:vertAlign w:val="superscript"/>
          </w:rPr>
          <w:t xml:space="preserve">173</w:t>
        </w:r>
      </w:hyperlink>
    </w:p>
    <w:p>
      <w:pPr>
        <w:pStyle w:val="BodyText"/>
      </w:pPr>
      <w:r>
        <w:t xml:space="preserve"> </w:t>
      </w:r>
    </w:p>
    <w:bookmarkEnd w:id="145"/>
    <w:bookmarkStart w:id="146"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174</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175</w:t>
        </w:r>
      </w:hyperlink>
      <w:r>
        <w:rPr>
          <w:vertAlign w:val="superscript"/>
        </w:rPr>
        <w:t xml:space="preserve">,</w:t>
      </w:r>
      <w:hyperlink w:anchor="ref-wood2001revitalizing">
        <w:r>
          <w:rPr>
            <w:rStyle w:val="Hyperlink"/>
            <w:vertAlign w:val="superscript"/>
          </w:rPr>
          <w:t xml:space="preserve">176</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174</w:t>
        </w:r>
      </w:hyperlink>
      <w:r>
        <w:rPr>
          <w:vertAlign w:val="superscript"/>
        </w:rPr>
        <w:t xml:space="preserve">,</w:t>
      </w:r>
      <w:hyperlink w:anchor="ref-mathur2014">
        <w:r>
          <w:rPr>
            <w:rStyle w:val="Hyperlink"/>
            <w:vertAlign w:val="superscript"/>
          </w:rPr>
          <w:t xml:space="preserve">177</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178</w:t>
        </w:r>
      </w:hyperlink>
      <w:r>
        <w:t xml:space="preserve"> </w:t>
      </w:r>
      <w:r>
        <w:t xml:space="preserve">All clinical events, included clinical test results and diagnoses, can be identified by a specific Read code. The codes use a nested approach (see Table</w:t>
      </w:r>
      <w:r>
        <w:t xml:space="preserve"> </w:t>
      </w:r>
      <w:r>
        <w:t xml:space="preserve">10</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10:</w:t>
      </w:r>
      <w:r>
        <w:t xml:space="preserve"> </w:t>
      </w:r>
      <w:bookmarkStart w:id="d22bf7fc-5836-4d24-a926-f8c7fff08b07" w:name="tab:readExample-table"/>
      <w:r>
        <w:t xml:space="preserve">Example of CPRD Read code hierarchy, showing how "Dementia in Alzheimer’s disease with late onset" (_Eu001_) is nested under the top-level of "Mental disorders" (_Eu..._). Broad topics are specified using the initial two alpha-numeric characters of the Read code, while subsequent characters are used to define specific conditions and context.</w:t>
      </w:r>
      <w:bookmarkEnd w:id="d22bf7fc-5836-4d24-a926-f8c7fff08b0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Level</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Read code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Term</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Mental disorders</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Mental and behavioral disorders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Organic mental disorder</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in Alzheimer's disease</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Eu001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in Alzheimer's disease with late onset</w:t>
            </w:r>
          </w:p>
        </w:tc>
      </w:tr>
    </w:tbl>
    <w:p>
      <w:pPr>
        <w:pStyle w:val="BodyText"/>
      </w:pPr>
      <w:r>
        <w:t xml:space="preserve"> </w:t>
      </w:r>
    </w:p>
    <w:p>
      <w:pPr>
        <w:pStyle w:val="BodyText"/>
      </w:pPr>
      <w:r>
        <w:t xml:space="preserve">Lists of relevant codes for each of the index events, exposures and outcomes used in the analysis were created. Each of these are described in more detail in the following sections.</w:t>
      </w:r>
    </w:p>
    <w:p>
      <w:pPr>
        <w:pStyle w:val="BodyText"/>
      </w:pPr>
      <w:r>
        <w:t xml:space="preserve"> </w:t>
      </w:r>
    </w:p>
    <w:bookmarkEnd w:id="146"/>
    <w:bookmarkStart w:id="147"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is thought to be higher after this date.</w:t>
      </w:r>
      <w:hyperlink w:anchor="ref-wolf2019">
        <w:r>
          <w:rPr>
            <w:rStyle w:val="Hyperlink"/>
            <w:vertAlign w:val="superscript"/>
          </w:rPr>
          <w:t xml:space="preserve">179</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All events of interest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The index date for a participant was defined as the date where the first relevant code or test result was recorded on their clinical record, and participants were followed up until the earliest of: an outcome of interest; death; end of follow-up (29 February 2016); or last registration date with their GP practice. Participants were removed from the sample if they were less than 40 years of age,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47"/>
    <w:bookmarkStart w:id="148" w:name="exposures"/>
    <w:p>
      <w:pPr>
        <w:pStyle w:val="Heading3"/>
      </w:pPr>
      <w:r>
        <w:t xml:space="preserve">Exposures</w:t>
      </w:r>
    </w:p>
    <w:p>
      <w:pPr>
        <w:pStyle w:val="FirstParagraph"/>
      </w:pPr>
      <w:r>
        <w:t xml:space="preserve">We considered seven lipid-regulating drug classes based on groupings in the British National Formulary (BNF),</w:t>
      </w:r>
      <w:hyperlink w:anchor="ref-wishart2017">
        <w:r>
          <w:rPr>
            <w:rStyle w:val="Hyperlink"/>
            <w:vertAlign w:val="superscript"/>
          </w:rPr>
          <w:t xml:space="preserve">180</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12"/>
        </w:numPr>
        <w:pStyle w:val="Compact"/>
      </w:pPr>
      <w:r>
        <w:rPr>
          <w:bCs/>
          <w:b/>
        </w:rPr>
        <w:t xml:space="preserve">stopped</w:t>
      </w:r>
      <w:r>
        <w:t xml:space="preserve">: defined as the last prescription of the primary class being followed by at least six months of observation;</w:t>
      </w:r>
    </w:p>
    <w:p>
      <w:pPr>
        <w:numPr>
          <w:ilvl w:val="0"/>
          <w:numId w:val="1012"/>
        </w:numPr>
        <w:pStyle w:val="Compact"/>
      </w:pPr>
      <w:r>
        <w:rPr>
          <w:bCs/>
          <w:b/>
        </w:rPr>
        <w:t xml:space="preserve">added</w:t>
      </w:r>
      <w:r>
        <w:t xml:space="preserve">: defined as a second drug class being prescribed before the last prescription of the initial class; and</w:t>
      </w:r>
    </w:p>
    <w:p>
      <w:pPr>
        <w:numPr>
          <w:ilvl w:val="0"/>
          <w:numId w:val="1012"/>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48"/>
    <w:bookmarkStart w:id="150" w:name="cprd-outcomes"/>
    <w:p>
      <w:pPr>
        <w:pStyle w:val="Heading3"/>
      </w:pPr>
      <w:r>
        <w:t xml:space="preserve">Outcomes</w:t>
      </w:r>
    </w:p>
    <w:p>
      <w:pPr>
        <w:pStyle w:val="FirstParagraph"/>
      </w:pPr>
      <w:r>
        <w:t xml:space="preserve">We considered five outcomes as part of this analysis: probable Alzheimer’s disease, possible Alzheimer’s disease, vascular dementia, other dementia, and a composite all-cause dementia outcome. When two or more outcomes were coded in a participant’s clinical record, a decision tree was used to differentiate between them (see Figure</w:t>
      </w:r>
      <w:r>
        <w:t xml:space="preserve"> </w:t>
      </w:r>
      <w:r>
        <w:t xml:space="preserve">5</w:t>
      </w:r>
      <w:r>
        <w:t xml:space="preserve">). The diagnosis date of the outcome was determined by the first record of a relevant code.</w:t>
      </w:r>
    </w:p>
    <w:p>
      <w:pPr>
        <w:pStyle w:val="BodyText"/>
      </w:pPr>
      <w:r>
        <w:drawing>
          <wp:inline>
            <wp:extent cx="5943600" cy="3168282"/>
            <wp:effectExtent b="0" l="0" r="0" t="0"/>
            <wp:docPr descr="Figure 5: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49"/>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Participants were censored at the earliest of date of: diagnosis; death; transfer out of the study cohort; or end of follow-up (29th February 2016).</w:t>
      </w:r>
    </w:p>
    <w:p>
      <w:pPr>
        <w:pStyle w:val="BodyText"/>
      </w:pPr>
      <w:r>
        <w:t xml:space="preserve"> </w:t>
      </w:r>
    </w:p>
    <w:bookmarkEnd w:id="150"/>
    <w:bookmarkStart w:id="151"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w:t>
      </w:r>
    </w:p>
    <w:p>
      <w:pPr>
        <w:pStyle w:val="BodyText"/>
      </w:pPr>
      <w:r>
        <w:t xml:space="preserve">Demographic covariates adjusted for included age and gender. Age was calculated at date of entry into the cohort.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2000-2004, 2005-2009,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181</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51"/>
    <w:bookmarkStart w:id="152"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182</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 Variables with missing observations were identified, and 20 imputed datasets were created.</w:t>
      </w:r>
      <w:hyperlink w:anchor="ref-sterne2009a">
        <w:r>
          <w:rPr>
            <w:rStyle w:val="Hyperlink"/>
            <w:vertAlign w:val="superscript"/>
          </w:rPr>
          <w:t xml:space="preserve">183</w:t>
        </w:r>
      </w:hyperlink>
      <w:r>
        <w:t xml:space="preserve"> </w:t>
      </w:r>
      <w:r>
        <w:t xml:space="preserve">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184</w:t>
        </w:r>
      </w:hyperlink>
      <w:r>
        <w:t xml:space="preserve"> </w:t>
      </w:r>
      <w:r>
        <w:t xml:space="preserve">Imputation was performed using the MICE (Multiple Imputation by Chained Equations) command in STATA16.</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182</w:t>
        </w:r>
      </w:hyperlink>
    </w:p>
    <w:p>
      <w:pPr>
        <w:pStyle w:val="BodyText"/>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185</w:t>
        </w:r>
      </w:hyperlink>
      <w:r>
        <w:t xml:space="preserve"> </w:t>
      </w:r>
      <w:r>
        <w:t xml:space="preserve">where participants missing any covariate are dropped from the dataset. As a sensitivity analysis, I preformed and compared the results of both methods,</w:t>
      </w:r>
      <w:hyperlink w:anchor="ref-hughes2019a">
        <w:r>
          <w:rPr>
            <w:rStyle w:val="Hyperlink"/>
            <w:vertAlign w:val="superscript"/>
          </w:rPr>
          <w:t xml:space="preserve">186</w:t>
        </w:r>
      </w:hyperlink>
      <w:r>
        <w:t xml:space="preserve"> </w:t>
      </w:r>
      <w:r>
        <w:t xml:space="preserve">to investigate the impact of multiple imputation on the results.</w:t>
      </w:r>
    </w:p>
    <w:p>
      <w:pPr>
        <w:pStyle w:val="BodyText"/>
      </w:pPr>
      <w:r>
        <w:t xml:space="preserve"> </w:t>
      </w:r>
      <w:r>
        <w:t xml:space="preserve"> </w:t>
      </w:r>
    </w:p>
    <w:bookmarkEnd w:id="152"/>
    <w:bookmarkStart w:id="153"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oMath>
      </m:oMathPara>
    </w:p>
    <w:p>
      <w:pPr>
        <w:pStyle w:val="FirstParagraph"/>
      </w:pPr>
      <w:r>
        <w:t xml:space="preserve">where:</w:t>
      </w:r>
    </w:p>
    <w:p>
      <w:pPr>
        <w:numPr>
          <w:ilvl w:val="0"/>
          <w:numId w:val="1013"/>
        </w:numPr>
        <w:pStyle w:val="Compact"/>
      </w:pPr>
      <m:oMath>
        <m:r>
          <m:t>t</m:t>
        </m:r>
      </m:oMath>
      <w:r>
        <w:t xml:space="preserve"> </w:t>
      </w:r>
      <w:r>
        <w:t xml:space="preserve">is the survival time;</w:t>
      </w:r>
    </w:p>
    <w:p>
      <w:pPr>
        <w:numPr>
          <w:ilvl w:val="0"/>
          <w:numId w:val="1013"/>
        </w:numPr>
        <w:pStyle w:val="Compact"/>
      </w:pPr>
      <m:oMath>
        <m:r>
          <m:t>h</m:t>
        </m:r>
        <m:r>
          <m:rPr>
            <m:sty m:val="p"/>
          </m:rPr>
          <m:t>(</m:t>
        </m:r>
        <m:r>
          <m:t>t</m:t>
        </m:r>
        <m:r>
          <m:rPr>
            <m:sty m:val="p"/>
          </m:rPr>
          <m:t>)</m:t>
        </m:r>
      </m:oMath>
      <w:r>
        <w:t xml:space="preserve"> </w:t>
      </w:r>
      <w:r>
        <w:t xml:space="preserve">is the hazard function; and</w:t>
      </w:r>
    </w:p>
    <w:p>
      <w:pPr>
        <w:numPr>
          <w:ilvl w:val="0"/>
          <w:numId w:val="1013"/>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3"/>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As the values of</w:t>
      </w:r>
      <w:r>
        <w:t xml:space="preserve"> </w:t>
      </w:r>
      <m:oMath>
        <m:sSub>
          <m:e>
            <m:r>
              <m:t>b</m:t>
            </m:r>
          </m:e>
          <m:sub>
            <m:r>
              <m:t>i</m:t>
            </m:r>
          </m:sub>
        </m:sSub>
      </m:oMath>
      <w:r>
        <w:t xml:space="preserve"> </w:t>
      </w:r>
      <w:r>
        <w:t xml:space="preserve">increases, value of</w:t>
      </w:r>
      <w:r>
        <w:t xml:space="preserve"> </w:t>
      </w:r>
      <m:oMath>
        <m:r>
          <m:t>e</m:t>
        </m:r>
        <m:r>
          <m:t>x</m:t>
        </m:r>
        <m:r>
          <m:t>p</m:t>
        </m:r>
        <m:r>
          <m:rPr>
            <m:sty m:val="p"/>
          </m:rPr>
          <m:t>(</m:t>
        </m:r>
        <m:sSub>
          <m:e>
            <m:r>
              <m:t>b</m:t>
            </m:r>
          </m:e>
          <m:sub>
            <m:r>
              <m:t>i</m:t>
            </m:r>
          </m:sub>
        </m:sSub>
        <m:r>
          <m:rPr>
            <m:sty m:val="p"/>
          </m:rPr>
          <m:t>)</m:t>
        </m:r>
      </m:oMath>
      <w:r>
        <w:t xml:space="preserve"> </w:t>
      </w:r>
      <w:r>
        <w:t xml:space="preserve">(i.e. the hazard ratio) increases in tandem, thus reducing the survival time,</w:t>
      </w:r>
      <w:r>
        <w:t xml:space="preserve"> </w:t>
      </w:r>
      <m:oMath>
        <m:r>
          <m:t>t</m:t>
        </m:r>
      </m:oMath>
      <w:r>
        <w:t xml:space="preserve">.</w:t>
      </w:r>
    </w:p>
    <w:p>
      <w:pPr>
        <w:pStyle w:val="BodyText"/>
      </w:pPr>
      <w:r>
        <w:t xml:space="preserve">A Cox PR model was chosen for this analysis as it inherently accounts for the length of time participants spend in each exposure group. Using this approach, time-at-risk can be properly attributed, thus mitigating the impact of immortal time bias. This is discussed in detail in the following section.</w:t>
      </w:r>
    </w:p>
    <w:p>
      <w:pPr>
        <w:pStyle w:val="BodyText"/>
      </w:pPr>
      <w:r>
        <w:t xml:space="preserve"> </w:t>
      </w:r>
    </w:p>
    <w:bookmarkEnd w:id="153"/>
    <w:bookmarkStart w:id="155" w:name="cprd-immortal-time-bias"/>
    <w:p>
      <w:pPr>
        <w:pStyle w:val="Heading3"/>
      </w:pPr>
      <w:r>
        <w:t xml:space="preserve">Immortal time bias and time-varying treatment indicators</w:t>
      </w:r>
    </w:p>
    <w:p>
      <w:pPr>
        <w:pStyle w:val="FirstParagraph"/>
      </w:pPr>
      <w:r>
        <w:t xml:space="preserve">Immortal time bias covers two distinct but related types of bias. The first presentation, the selection bias aspect (Panel A, Figure</w:t>
      </w:r>
      <w:r>
        <w:t xml:space="preserve"> </w:t>
      </w:r>
      <w:r>
        <w:t xml:space="preserve">6</w:t>
      </w:r>
      <w:r>
        <w:t xml:space="preserve">), occurs when time prior to the exposure is excluded leading to the exposed and control groups being followed up from different time points.</w:t>
      </w:r>
      <w:hyperlink w:anchor="ref-levesque2010a">
        <w:r>
          <w:rPr>
            <w:rStyle w:val="Hyperlink"/>
            <w:vertAlign w:val="superscript"/>
          </w:rPr>
          <w:t xml:space="preserve">187</w:t>
        </w:r>
      </w:hyperlink>
      <w:r>
        <w:t xml:space="preserve"> </w:t>
      </w:r>
      <w:r>
        <w:t xml:space="preserve">For example, if the unexposed group are followed from a cholesterol test result, while the exposed group is followed from date of LRA prescription, any events that occur in the exposed group prior to the exposure event will be inappropriately excluded from the analysis.</w:t>
      </w:r>
    </w:p>
    <w:p>
      <w:pPr>
        <w:pStyle w:val="BodyText"/>
      </w:pPr>
      <w:r>
        <w:t xml:space="preserve">The second presentation of immortal time bias is as a type of misclassification bias (Panel B, Figure</w:t>
      </w:r>
      <w:r>
        <w:t xml:space="preserve"> </w:t>
      </w:r>
      <w:r>
        <w:t xml:space="preserve">6</w:t>
      </w:r>
      <w:r>
        <w:t xml:space="preserve">). It occurs when the exposure time prior to the exposure date, and any events occurring within it, is inappropriately assigned to the exposed group. This second presentation appears to be common in the existing literature, as several of the studies included in the systematic review presented in Chapter</w:t>
      </w:r>
      <w:r>
        <w:t xml:space="preserve"> </w:t>
      </w:r>
      <w:r>
        <w:t xml:space="preserve">4</w:t>
      </w:r>
      <w:r>
        <w:t xml:space="preserve"> </w:t>
      </w:r>
      <w:r>
        <w:t xml:space="preserve">were identified as being at risk of immortal time bias following formal risk of bias assessment using the ROBINS-I tool (see Section</w:t>
      </w:r>
      <w:r>
        <w:t xml:space="preserve"> </w:t>
      </w:r>
      <w:r>
        <w:t xml:space="preserve">4.4.5</w:t>
      </w:r>
      <w:r>
        <w:t xml:space="preserve">).</w:t>
      </w:r>
    </w:p>
    <w:p>
      <w:pPr>
        <w:pStyle w:val="BodyText"/>
      </w:pPr>
      <w:r>
        <w:t xml:space="preserve">This analysis is primarily concerned with the second presentation of immortal time bias, as all participants were followed from a common index date (earliest of: date of raised cholesterol test results; hypercholesterolemeia diagnosis; or LRA prescription). To address the potential for this second form of immortal time bias in the analysis, I employed a time-varying indicator of treatment status to correctly allocate time-at-risk to the exposed and unexposed groups.</w:t>
      </w:r>
      <w:hyperlink w:anchor="ref-levesque2010">
        <w:r>
          <w:rPr>
            <w:rStyle w:val="Hyperlink"/>
            <w:vertAlign w:val="superscript"/>
          </w:rPr>
          <w:t xml:space="preserve">188</w:t>
        </w:r>
      </w:hyperlink>
    </w:p>
    <w:p>
      <w:pPr>
        <w:pStyle w:val="BodyText"/>
      </w:pPr>
      <w:r>
        <w:t xml:space="preserve">Under this approach, all patients start in the unexposed group, &amp; contribute time-at-risk until they are prescribed a lipid regulating agent and move into the exposed group. Note, patients for whom prescription of a lipid regulating agent was the index event only contribute time to the exposed group (i.e. they enter the cohort and move into the exposed group on the same day).</w:t>
      </w:r>
    </w:p>
    <w:p>
      <w:pPr>
        <w:pStyle w:val="BodyText"/>
      </w:pPr>
      <w:r>
        <w:drawing>
          <wp:inline>
            <wp:extent cx="5943600" cy="3961601"/>
            <wp:effectExtent b="0" l="0" r="0" t="0"/>
            <wp:docPr descr="Figure 6: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54"/>
                    <a:stretch>
                      <a:fillRect/>
                    </a:stretch>
                  </pic:blipFill>
                  <pic:spPr bwMode="auto">
                    <a:xfrm>
                      <a:off x="0" y="0"/>
                      <a:ext cx="5943600" cy="3961601"/>
                    </a:xfrm>
                    <a:prstGeom prst="rect">
                      <a:avLst/>
                    </a:prstGeom>
                    <a:noFill/>
                    <a:ln w="9525">
                      <a:noFill/>
                      <a:headEnd/>
                      <a:tailEnd/>
                    </a:ln>
                  </pic:spPr>
                </pic:pic>
              </a:graphicData>
            </a:graphic>
          </wp:inline>
        </w:drawing>
      </w:r>
      <w:r>
        <w:t xml:space="preserve"> </w:t>
      </w:r>
    </w:p>
    <w:bookmarkEnd w:id="155"/>
    <w:bookmarkStart w:id="156" w:name="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189</w:t>
        </w:r>
      </w:hyperlink>
      <w:r>
        <w:rPr>
          <w:vertAlign w:val="superscript"/>
        </w:rPr>
        <w:t xml:space="preserve">–</w:t>
      </w:r>
      <w:hyperlink w:anchor="ref-pencina2007">
        <w:r>
          <w:rPr>
            <w:rStyle w:val="Hyperlink"/>
            <w:vertAlign w:val="superscript"/>
          </w:rPr>
          <w:t xml:space="preserve">191</w:t>
        </w:r>
      </w:hyperlink>
      <w:r>
        <w:t xml:space="preserve"> </w:t>
      </w:r>
      <w:r>
        <w:t xml:space="preserve">A model using age as the time axis inherently accounts, or adjusts, for participants age as a potential confounded of the exposure-outcome relationship. The main analyses presented all used age as the time axis.</w:t>
      </w:r>
    </w:p>
    <w:p>
      <w:pPr>
        <w:pStyle w:val="BodyText"/>
      </w:pPr>
      <w:r>
        <w:t xml:space="preserve"> </w:t>
      </w:r>
      <w:r>
        <w:t xml:space="preserve"> </w:t>
      </w:r>
    </w:p>
    <w:bookmarkEnd w:id="156"/>
    <w:bookmarkStart w:id="163" w:name="sensitivity-analyses-1"/>
    <w:p>
      <w:pPr>
        <w:pStyle w:val="Heading3"/>
      </w:pPr>
      <w:r>
        <w:t xml:space="preserve">Sensitivity analyses</w:t>
      </w:r>
    </w:p>
    <w:p>
      <w:pPr>
        <w:pStyle w:val="FirstParagraph"/>
      </w:pPr>
      <w:r>
        <w:t xml:space="preserve">The primary analysis examined the effect of a lipid regulating agent on dementia risk, stratified by outcome and drug class. To assess the robustness of the results, a number of sensitivity analyses were performed. These are described in the following sections.</w:t>
      </w:r>
    </w:p>
    <w:bookmarkStart w:id="158"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two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192</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 Negative outcomes are those without a likely causal path between the exposure and outcome (see Figure</w:t>
      </w:r>
      <w:r>
        <w:t xml:space="preserve"> </w:t>
      </w:r>
      <w:r>
        <w:t xml:space="preserve">7</w:t>
      </w:r>
      <w:r>
        <w:t xml:space="preserve"> </w:t>
      </w:r>
      <w:r>
        <w:t xml:space="preserve">for a directed acyclic graph describing an ideal negative outcome).</w:t>
      </w:r>
    </w:p>
    <w:p>
      <w:pPr>
        <w:pStyle w:val="BodyText"/>
      </w:pPr>
      <w:r>
        <w:t xml:space="preserve">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w:t>
      </w:r>
    </w:p>
    <w:p>
      <w:pPr>
        <w:pStyle w:val="BodyText"/>
      </w:pPr>
      <w:r>
        <w:t xml:space="preserve">Due to the wealth of data available on statins as a lipid regulating agent, control outcomes were chosen in reference to this drug class. Muscular backpain was chosen as a negative control outcome in this analysis. Despite observational analyses suggesting a link between statins and muscle pain (as opposed to more serious complications such as myopathy),</w:t>
      </w:r>
      <w:hyperlink w:anchor="ref-selva-ocallaghan2018">
        <w:r>
          <w:rPr>
            <w:rStyle w:val="Hyperlink"/>
            <w:vertAlign w:val="superscript"/>
          </w:rPr>
          <w:t xml:space="preserve">193</w:t>
        </w:r>
      </w:hyperlink>
      <w:r>
        <w:t xml:space="preserve"> </w:t>
      </w:r>
      <w:r>
        <w:t xml:space="preserve">systematic reviews of the adverse events of statin use</w:t>
      </w:r>
      <w:hyperlink w:anchor="ref-collins2016a">
        <w:r>
          <w:rPr>
            <w:rStyle w:val="Hyperlink"/>
            <w:vertAlign w:val="superscript"/>
          </w:rPr>
          <w:t xml:space="preserve">36</w:t>
        </w:r>
      </w:hyperlink>
      <w:r>
        <w:t xml:space="preserve"> </w:t>
      </w:r>
      <w:r>
        <w:t xml:space="preserve">and N-of-1 trials explicitly exploring the effect of statin use on muscle pain</w:t>
      </w:r>
      <w:hyperlink w:anchor="ref-herrett2021">
        <w:r>
          <w:rPr>
            <w:rStyle w:val="Hyperlink"/>
            <w:vertAlign w:val="superscript"/>
          </w:rPr>
          <w:t xml:space="preserve">194</w:t>
        </w:r>
      </w:hyperlink>
      <w:r>
        <w:t xml:space="preserve"> </w:t>
      </w:r>
      <w:r>
        <w:t xml:space="preserve">have found no evidence of an effect. As such, if no evidence of an effect of statins on backpain is found in the analysis, then confidence in the results for the dementia outcomes is increased.</w:t>
      </w:r>
    </w:p>
    <w:p>
      <w:pPr>
        <w:pStyle w:val="BodyText"/>
      </w:pPr>
      <w:r>
        <w:t xml:space="preserve">Additionally, incident ischemic heart disease was included as a positive control outcome, given the well-established protective effect of lipid-lowering treatment, via statins, on the risk of this condition.</w:t>
      </w:r>
      <w:hyperlink w:anchor="ref-collins2016a">
        <w:r>
          <w:rPr>
            <w:rStyle w:val="Hyperlink"/>
            <w:vertAlign w:val="superscript"/>
          </w:rPr>
          <w:t xml:space="preserve">36</w:t>
        </w:r>
      </w:hyperlink>
      <w:r>
        <w:t xml:space="preserve"> </w:t>
      </w:r>
      <w:r>
        <w:t xml:space="preserve">Similar to the backpain outcome, if the analysis strategy can reproduce this known protective association, this will provide evidence that potential confounders have been sufficiently adjusted for.</w:t>
      </w:r>
    </w:p>
    <w:p>
      <w:pPr>
        <w:pStyle w:val="BodyText"/>
      </w:pPr>
      <w:r>
        <w:drawing>
          <wp:inline>
            <wp:extent cx="4587290" cy="2752374"/>
            <wp:effectExtent b="0" l="0" r="0" t="0"/>
            <wp:docPr descr="Figure 7: Causal diagram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57"/>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bookmarkEnd w:id="158"/>
    <w:bookmarkStart w:id="159" w:name="impact-of-additional-covariates"/>
    <w:p>
      <w:pPr>
        <w:pStyle w:val="Heading4"/>
      </w:pPr>
      <w:r>
        <w:t xml:space="preserve">Impact of additional covariates</w:t>
      </w:r>
    </w:p>
    <w:p>
      <w:pPr>
        <w:pStyle w:val="FirstParagraph"/>
      </w:pPr>
      <w:r>
        <w:t xml:space="preserve">To observe the effect of adjusting for additional covariates, I ran a model unadjusted except for age (captured via the time axis in the Cox model) and gender, and compared the results with the full adjusted model.</w:t>
      </w:r>
    </w:p>
    <w:p>
      <w:pPr>
        <w:pStyle w:val="BodyText"/>
      </w:pPr>
      <w:r>
        <w:t xml:space="preserve"> </w:t>
      </w:r>
    </w:p>
    <w:bookmarkEnd w:id="159"/>
    <w:bookmarkStart w:id="160"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and female) to assess the robustness of the estimates, as statins are contraindicated in pregnancy, .</w:t>
      </w:r>
      <w:hyperlink w:anchor="ref-karalis2016">
        <w:r>
          <w:rPr>
            <w:rStyle w:val="Hyperlink"/>
            <w:vertAlign w:val="superscript"/>
          </w:rPr>
          <w:t xml:space="preserve">195</w:t>
        </w:r>
      </w:hyperlink>
    </w:p>
    <w:p>
      <w:pPr>
        <w:pStyle w:val="BodyText"/>
      </w:pPr>
      <w:r>
        <w:t xml:space="preserve"> </w:t>
      </w:r>
    </w:p>
    <w:bookmarkEnd w:id="160"/>
    <w:bookmarkStart w:id="161"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2.4.2</w:t>
      </w:r>
      <w:r>
        <w:t xml:space="preserve"> </w:t>
      </w:r>
      <w:r>
        <w:t xml:space="preserve">in the Introductory Chapter).</w:t>
      </w:r>
    </w:p>
    <w:p>
      <w:pPr>
        <w:pStyle w:val="BodyText"/>
      </w:pPr>
      <w:r>
        <w:t xml:space="preserve">To explore whether any observed effect for the statin analysis varied by statin property, a sensitivity analysis was performed, stratifying by statin lipophilicity.</w:t>
      </w:r>
    </w:p>
    <w:p>
      <w:pPr>
        <w:pStyle w:val="BodyText"/>
      </w:pPr>
      <w:r>
        <w:t xml:space="preserve"> </w:t>
      </w:r>
    </w:p>
    <w:bookmarkEnd w:id="161"/>
    <w:bookmarkStart w:id="162" w:name="impact-of-dementia-code-lists"/>
    <w:p>
      <w:pPr>
        <w:pStyle w:val="Heading4"/>
      </w:pPr>
      <w:r>
        <w:t xml:space="preserve">Impact of dementia code lists</w:t>
      </w:r>
    </w:p>
    <w:p>
      <w:pPr>
        <w:pStyle w:val="FirstParagraph"/>
      </w:pPr>
      <w:r>
        <w:t xml:space="preserve">As part of an exploratory analysis of the effect of the choice of code lists on the analysis, I created an alternative Alzheimer’s disease and non-Alzheimer’s dementia outcome using code lists from a previous study published in 2009 by Smeeth</w:t>
      </w:r>
      <w:r>
        <w:t xml:space="preserve"> </w:t>
      </w:r>
      <w:r>
        <w:rPr>
          <w:iCs/>
          <w:i/>
        </w:rPr>
        <w:t xml:space="preserve">et al</w:t>
      </w:r>
      <w:r>
        <w:t xml:space="preserve">.</w:t>
      </w:r>
      <w:hyperlink w:anchor="ref-smeeth2009">
        <w:r>
          <w:rPr>
            <w:rStyle w:val="Hyperlink"/>
            <w:vertAlign w:val="superscript"/>
          </w:rPr>
          <w:t xml:space="preserve">196</w:t>
        </w:r>
      </w:hyperlink>
    </w:p>
    <w:p>
      <w:pPr>
        <w:pStyle w:val="BodyText"/>
      </w:pPr>
      <w:r>
        <w:t xml:space="preserve">This previous study used a propensity matching approach to estimate the effect of statins on a range of outcomes, and a protective effect of statin use on all-cause dementia (HR: 0.81, 95% CI: 0.69-0.96) and non-AD dementia (HR: 0.82, 95% CI: 0.69-0.97), but no evidence of an effect on AD (HR: 0.81, 95% CI: 0.49-1.35).</w:t>
      </w:r>
    </w:p>
    <w:p>
      <w:pPr>
        <w:pStyle w:val="BodyText"/>
      </w:pPr>
      <w:r>
        <w:t xml:space="preserve">The code lists used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62"/>
    <w:bookmarkEnd w:id="163"/>
    <w:bookmarkEnd w:id="164"/>
    <w:bookmarkStart w:id="185" w:name="results-1"/>
    <w:p>
      <w:pPr>
        <w:pStyle w:val="Heading2"/>
      </w:pPr>
      <w:r>
        <w:t xml:space="preserve">Results</w:t>
      </w:r>
    </w:p>
    <w:bookmarkStart w:id="166"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8</w:t>
      </w:r>
      <w:r>
        <w:t xml:space="preserve">), with a total follow-up of 10,800,903 patient years at risk.</w:t>
      </w:r>
    </w:p>
    <w:p>
      <w:pPr>
        <w:pStyle w:val="BodyText"/>
      </w:pPr>
      <w:r>
        <w:t xml:space="preserve"> </w:t>
      </w:r>
    </w:p>
    <w:p>
      <w:pPr>
        <w:pStyle w:val="BodyText"/>
      </w:pPr>
      <w:r>
        <w:drawing>
          <wp:inline>
            <wp:extent cx="5943600" cy="8192529"/>
            <wp:effectExtent b="0" l="0" r="0" t="0"/>
            <wp:docPr descr="Figure 8: Attrition of CPRD participants as the eligibility criteria were applied. Most attrition was due to the absence of an index event of interest." title="" id="1" name="Picture"/>
            <a:graphic>
              <a:graphicData uri="http://schemas.openxmlformats.org/drawingml/2006/picture">
                <pic:pic>
                  <pic:nvPicPr>
                    <pic:cNvPr descr="figures/cprd-analysis/cohort_attrition.png" id="0" name="Picture"/>
                    <pic:cNvPicPr>
                      <a:picLocks noChangeArrowheads="1" noChangeAspect="1"/>
                    </pic:cNvPicPr>
                  </pic:nvPicPr>
                  <pic:blipFill>
                    <a:blip r:embed="rId165"/>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(IQR:48-68) and participants were followed up for a median of 5.8 years (IQR:2.7-9.7). During follow-up, an all-cause dementia diagnosis was recorded for 41,830 patients (12,647 probable AD, 9,954 possible AD, 8,466 vascular dementia, 10,763 other dementia). The distribution of baseline characteristics across the seven drug classes can be seen in Table</w:t>
      </w:r>
      <w:r>
        <w:t xml:space="preserve"> </w:t>
      </w:r>
      <w:r>
        <w:t xml:space="preserve">11</w:t>
      </w:r>
      <w:r>
        <w:t xml:space="preserve">.</w:t>
      </w:r>
    </w:p>
    <w:p>
      <w:pPr>
        <w:pStyle w:val="TableCaption"/>
      </w:pPr>
      <w:r>
        <w:t xml:space="preserve">Table 11:</w:t>
      </w:r>
      <w:r>
        <w:t xml:space="preserve"> </w:t>
      </w:r>
      <w:bookmarkStart w:id="679ce224-e293-40a0-bc47-20f606aade82" w:name="tab:cprdCharacteristics-table"/>
      <w:r>
        <w:t xml:space="preserve">Patient characteristics by drug class. Summary statistics are presented as "% (N)" unless otherwise specified in the variable name.</w:t>
      </w:r>
      <w:bookmarkEnd w:id="679ce224-e293-40a0-bc47-20f606aade82"/>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Whole Sample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None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Bile acid sequestrants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 &amp; 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Fibrates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Nicotinic acid groups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Omega-3 Fatty Acid Groups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Sample size (N)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1695683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1095857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588455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Index year (median)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Female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53.1% (900847)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56.3% (616801)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47.2% (277841)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66.4% (3598)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54.6% (418)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52.8% (67)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38.6% (1505)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54.8% (92)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52.7% (525)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Age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CAD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(7180)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(6487)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 (13)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CBS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(5739)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(4947)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 (78)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0.6% (6)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CVD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 (36680)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 (12803)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 (23567)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 (90)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 (20)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 (3)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 (171)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 (8)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 (18)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Charlson (ever &gt;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31.0% (525566)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25.5% (279520)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40.9% (240925)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42.6% (2308)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41.8% (320)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24.4% (31)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50.9% (1983)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44.6% (75)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40.5% (404)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IMD-2010 (median)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Consulation rate (mean/SD)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(5.5)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 (5.0)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 (6.1)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8.6 (7.4)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 (4.3)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 (6.2)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9.3 (7.7)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 (8.0)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(ever)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85.8% (1455443)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86.5% (947716)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84.7% (498304)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82.8% (4487)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83.9% (643)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87.4% (111)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82.8% (3226)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82.7% (139)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81.9% (817)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Smoking (ever)</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51.1% (866207)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47.0% (515192)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58.5% (344540)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55.2% (2990)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57.4% (440)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60.6% (77)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60.1% (2342)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53.6% (90)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53.8% (536)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BMI (mean/SD)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27.0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26.7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27.7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26.8 (5.8)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28.1 (5.7)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28.1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29.0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26.4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26.8 (5.5)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PAD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(12879)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(4204)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 (8524)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(47)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 (75)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 (11)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 (10)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Hypertension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16.1% (273011)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 (126891)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24.5% (144010)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12.9% (697)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23.9% (183)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25.2% (32)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25.8% (1006)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21.4% (36)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15.6% (156)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 cholesterol (mean/SD)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 (12.4)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(10.8)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(15.3)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 (1.3)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 (26.5)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 (1.5)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 (5.6)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(1.5)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 (1.7)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LDL cholesterol (mean/SD)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 (4.8)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 (3.6)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 (1.8)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 (0.9)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3.2 (1.0)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CKD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(1391)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(814)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(566)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1 Diabetes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 (4057)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(795)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0.5% (3206)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 (8)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(31)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0.6% (1)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2 Diabetes</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 (49381)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(12376)</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(36182)</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 (124)</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(41)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 (6)</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 (617)</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 (7)</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 (28)</w:t>
            </w:r>
          </w:p>
        </w:tc>
      </w:tr>
    </w:tbl>
    <w:p>
      <w:pPr>
        <w:pStyle w:val="BodyText"/>
      </w:pPr>
      <w:r>
        <w:t xml:space="preserve">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and</w:t>
      </w:r>
      <w:r>
        <w:t xml:space="preserve"> </w:t>
      </w:r>
      <w:r>
        <w:t xml:space="preserve">“</w:t>
      </w:r>
      <w:r>
        <w:t xml:space="preserve">Nicotinic acid groups</w:t>
      </w:r>
      <w:r>
        <w:t xml:space="preserve">”</w:t>
      </w:r>
      <w:r>
        <w:t xml:space="preserve"> </w:t>
      </w:r>
      <w:r>
        <w:t xml:space="preserve">classes from subsequent analysis based on the extremely small number of participants in these groups (N=127 &amp; N=168 respectively; see Table</w:t>
      </w:r>
      <w:r>
        <w:t xml:space="preserve"> </w:t>
      </w:r>
      <w:r>
        <w:t xml:space="preserve">11</w:t>
      </w:r>
      <w:r>
        <w:t xml:space="preserve">).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BodyText"/>
      </w:pPr>
      <w:r>
        <w:t xml:space="preserve"> </w:t>
      </w:r>
    </w:p>
    <w:p>
      <w:pPr>
        <w:pStyle w:val="TableCaption"/>
      </w:pPr>
      <w:r>
        <w:t xml:space="preserve">Table 12:</w:t>
      </w:r>
      <w:r>
        <w:t xml:space="preserve"> </w:t>
      </w:r>
      <w:bookmarkStart w:id="c00847c4-8b66-4a37-9d40-b48108e17498" w:name="tab:cprdSSA-table"/>
      <w:r>
        <w:t xml:space="preserve">Participants who stopped, switched or added treatments by initial treatment type.</w:t>
      </w:r>
      <w:bookmarkEnd w:id="c00847c4-8b66-4a37-9d40-b48108e17498"/>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Whole Sample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Bile acid sequestrants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 &amp; 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Fibrates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Nicotinic acid groups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Omega-3 Fatty Acid Groups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Stopped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 (115899)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19.0% (111798)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55.9% (3028)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19.6% (150)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12.6%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 (478)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44.0% (74)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35.6% (355)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Added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 (27470)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 (26018)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 (192)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18.9% (145)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21.6% (841)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 (7)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26.3% (262)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Switched</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(14956)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 (12014)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11.3% (614)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34.5% (264)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64.6% (82)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44.0% (1714)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44.6% (75)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19.4% (193)</w:t>
            </w:r>
          </w:p>
        </w:tc>
      </w:tr>
    </w:tbl>
    <w:p>
      <w:pPr>
        <w:pStyle w:val="BodyText"/>
      </w:pPr>
      <w:r>
        <w:t xml:space="preserve"> </w:t>
      </w:r>
    </w:p>
    <w:p>
      <w:pPr>
        <w:pStyle w:val="BodyText"/>
      </w:pPr>
      <w:r>
        <w:t xml:space="preserve">The stopping, addition and switching of drug classes was common across all drug classes (Table</w:t>
      </w:r>
      <w:r>
        <w:t xml:space="preserve"> </w:t>
      </w:r>
      <w:r>
        <w:t xml:space="preserve">12</w:t>
      </w:r>
      <w:r>
        <w:t xml:space="preserve">).</w:t>
      </w:r>
    </w:p>
    <w:p>
      <w:pPr>
        <w:pStyle w:val="BodyText"/>
      </w:pPr>
      <w:r>
        <w:t xml:space="preserve"> </w:t>
      </w:r>
    </w:p>
    <w:bookmarkEnd w:id="166"/>
    <w:bookmarkStart w:id="167" w:name="missing-data-1"/>
    <w:p>
      <w:pPr>
        <w:pStyle w:val="Heading3"/>
      </w:pPr>
      <w:r>
        <w:t xml:space="preserve">Missing data</w:t>
      </w:r>
    </w:p>
    <w:p>
      <w:pPr>
        <w:pStyle w:val="FirstParagraph"/>
      </w:pPr>
      <w:r>
        <w:t xml:space="preserve">Full covariate information was available for 451,897 participants (26.6%). Six key variables had some missing data: IMD 2010 score was missing for 630,439 participants (37.2%), because it is only recorded for English practices; alcohol status was missing for 272,745 participants (16.1%); smoking status was missing for 85,267 participants (5%); BMI, or a calculated BMI from height and weight measurements, was missing for 270,122 participants (15.9%); baseline total cholesterol was missing for 121,101 participants (7.1%); and baseline LDL cholesterol was missing for 793,720 participants (46.8%).</w:t>
      </w:r>
    </w:p>
    <w:p>
      <w:pPr>
        <w:pStyle w:val="BodyText"/>
      </w:pPr>
      <w:r>
        <w:t xml:space="preserve"> </w:t>
      </w:r>
    </w:p>
    <w:bookmarkEnd w:id="167"/>
    <w:bookmarkStart w:id="169"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9</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3301733"/>
            <wp:effectExtent b="0" l="0" r="0" t="0"/>
            <wp:docPr descr="Figure 9: Results from primary analyses of CPRD data using the fully adjusted model and participant age as the time scale." title="" id="1" name="Picture"/>
            <a:graphic>
              <a:graphicData uri="http://schemas.openxmlformats.org/drawingml/2006/picture">
                <pic:pic>
                  <pic:nvPicPr>
                    <pic:cNvPr descr="figures/cprd-analysis/fp_p1.jpeg" id="0" name="Picture"/>
                    <pic:cNvPicPr>
                      <a:picLocks noChangeArrowheads="1" noChangeAspect="1"/>
                    </pic:cNvPicPr>
                  </pic:nvPicPr>
                  <pic:blipFill>
                    <a:blip r:embed="rId168"/>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No evidence was found for an effect of lipid-regulating agents on probable (HR: 0.98, 95%CI: 0.94-1.01) and possible (HR: 0.97, 95%CI: 0.93-1.01) Alzheimer’s disease when compared with no treatment, with the sole exception of fibrates on probable Alzheimer’s disease (HR: 1.28, 95%CI: 1.08-1.52).</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 1.81, 95%CI: 1.73-1.89) or other dementia (HR: 1.19, 95%CI: 1.15-1.24). Again this effect was driven mainly by the statin subgroup, but there was some evidence that ezetimibe was associated with an increased risk of vascular (HR: 2.33, 95%CI: 1.11-4.89) and other (HR: 1.88, 95%CI: 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I found treatment with a lipid-regulating agent was associated with a slightly increased risk (HR: 1.17, 95%CI: 1.14-1.19), but the magnitude of the association was not as extreme as that observed for the vascular dementia subgroup. There was also some evidence that fibrates were associated with increased risk of all-cause dementia (HR: 1.28, 95%CI: 1.08-1.52).</w:t>
      </w:r>
    </w:p>
    <w:p>
      <w:pPr>
        <w:pStyle w:val="BodyText"/>
      </w:pPr>
      <w:r>
        <w:t xml:space="preserve"> </w:t>
      </w:r>
    </w:p>
    <w:bookmarkEnd w:id="169"/>
    <w:bookmarkStart w:id="184" w:name="sensitivity-analyses-2"/>
    <w:p>
      <w:pPr>
        <w:pStyle w:val="Heading3"/>
      </w:pPr>
      <w:r>
        <w:t xml:space="preserve">Sensitivity analyses</w:t>
      </w:r>
    </w:p>
    <w:p>
      <w:pPr>
        <w:pStyle w:val="FirstParagraph"/>
      </w:pPr>
      <w:r>
        <w:t xml:space="preserve">The results of the series of sensitivity analyses performed are described in the following sections.</w:t>
      </w:r>
    </w:p>
    <w:bookmarkStart w:id="171"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793,720 participants (46.8%)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b">
        <w:r>
          <w:rPr>
            <w:rStyle w:val="Hyperlink"/>
            <w:vertAlign w:val="superscript"/>
          </w:rPr>
          <w:t xml:space="preserve">197</w:t>
        </w:r>
      </w:hyperlink>
    </w:p>
    <w:p>
      <w:pPr>
        <w:pStyle w:val="BodyText"/>
      </w:pPr>
      <w:r>
        <w:t xml:space="preserve"> </w:t>
      </w:r>
    </w:p>
    <w:p>
      <w:pPr>
        <w:pStyle w:val="BodyText"/>
      </w:pPr>
      <w:r>
        <w:drawing>
          <wp:inline>
            <wp:extent cx="5943600" cy="4358959"/>
            <wp:effectExtent b="0" l="0" r="0" t="0"/>
            <wp:docPr descr="Figure 10: Comparison of complete case versus imputed data analyses." title="" id="1" name="Picture"/>
            <a:graphic>
              <a:graphicData uri="http://schemas.openxmlformats.org/drawingml/2006/picture">
                <pic:pic>
                  <pic:nvPicPr>
                    <pic:cNvPr descr="figures/cprd-analysis/fp_complete_case.jpeg" id="0" name="Picture"/>
                    <pic:cNvPicPr>
                      <a:picLocks noChangeArrowheads="1" noChangeAspect="1"/>
                    </pic:cNvPicPr>
                  </pic:nvPicPr>
                  <pic:blipFill>
                    <a:blip r:embed="rId170"/>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p>
      <w:pPr>
        <w:pStyle w:val="BodyText"/>
      </w:pPr>
      <w:r>
        <w:t xml:space="preserve"> </w:t>
      </w:r>
    </w:p>
    <w:bookmarkEnd w:id="171"/>
    <w:bookmarkStart w:id="173"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11</w:t>
      </w:r>
      <w:r>
        <w:t xml:space="preserve">.</w:t>
      </w:r>
    </w:p>
    <w:p>
      <w:pPr>
        <w:pStyle w:val="BodyText"/>
      </w:pPr>
      <w:r>
        <w:t xml:space="preserve">For the negative control, there was some evidence that treatment with a statin was associated with an increased risk of back pain (HR: 1.04, 95% CI: 1.03-1.05), suggesting there may be some residual confounding. However, statin prescription was also associated with a substantially increased risk of ischemic heart disease (HR: 1.63, 95% CI: 1.60-1.65).</w:t>
      </w:r>
    </w:p>
    <w:p>
      <w:pPr>
        <w:pStyle w:val="BodyText"/>
      </w:pPr>
      <w:r>
        <w:t xml:space="preserve"> </w:t>
      </w:r>
    </w:p>
    <w:p>
      <w:pPr>
        <w:pStyle w:val="BodyText"/>
      </w:pPr>
      <w:r>
        <w:drawing>
          <wp:inline>
            <wp:extent cx="5943600" cy="1320533"/>
            <wp:effectExtent b="0" l="0" r="0" t="0"/>
            <wp:docPr descr="Figure 11: Results of control outcome analysis." title="" id="1" name="Picture"/>
            <a:graphic>
              <a:graphicData uri="http://schemas.openxmlformats.org/drawingml/2006/picture">
                <pic:pic>
                  <pic:nvPicPr>
                    <pic:cNvPr descr="figures/cprd-analysis/fp_control_outcomes.jpeg" id="0" name="Picture"/>
                    <pic:cNvPicPr>
                      <a:picLocks noChangeArrowheads="1" noChangeAspect="1"/>
                    </pic:cNvPicPr>
                  </pic:nvPicPr>
                  <pic:blipFill>
                    <a:blip r:embed="rId172"/>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bookmarkEnd w:id="173"/>
    <w:bookmarkStart w:id="175"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12</w:t>
      </w:r>
      <w:r>
        <w:t xml:space="preserve">.</w:t>
      </w:r>
    </w:p>
    <w:p>
      <w:pPr>
        <w:pStyle w:val="BodyText"/>
      </w:pPr>
      <w:r>
        <w:t xml:space="preserve">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4358959"/>
            <wp:effectExtent b="0" l="0" r="0" t="0"/>
            <wp:docPr descr="Figure 12: Results of three models adjusting for a different set of covariates." title="" id="1" name="Picture"/>
            <a:graphic>
              <a:graphicData uri="http://schemas.openxmlformats.org/drawingml/2006/picture">
                <pic:pic>
                  <pic:nvPicPr>
                    <pic:cNvPr descr="figures/cprd-analysis/fp_unadjusted.jpeg" id="0" name="Picture"/>
                    <pic:cNvPicPr>
                      <a:picLocks noChangeArrowheads="1" noChangeAspect="1"/>
                    </pic:cNvPicPr>
                  </pic:nvPicPr>
                  <pic:blipFill>
                    <a:blip r:embed="rId174"/>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bookmarkEnd w:id="175"/>
    <w:bookmarkStart w:id="177"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13</w:t>
      </w:r>
      <w:r>
        <w:t xml:space="preserve">).</w:t>
      </w:r>
    </w:p>
    <w:p>
      <w:pPr>
        <w:pStyle w:val="BodyText"/>
      </w:pPr>
      <w:r>
        <w:t xml:space="preserve"> </w:t>
      </w:r>
    </w:p>
    <w:p>
      <w:pPr>
        <w:pStyle w:val="BodyText"/>
      </w:pPr>
      <w:r>
        <w:drawing>
          <wp:inline>
            <wp:extent cx="5943600" cy="1320533"/>
            <wp:effectExtent b="0" l="0" r="0" t="0"/>
            <wp:docPr descr="Figure 13: Analysis of any lipid regulating agent on Probable AD outcome, stratified by grouped year of cohort entry." title="" id="1" name="Picture"/>
            <a:graphic>
              <a:graphicData uri="http://schemas.openxmlformats.org/drawingml/2006/picture">
                <pic:pic>
                  <pic:nvPicPr>
                    <pic:cNvPr descr="figures/cprd-analysis/fp_cohort_entry.jpeg" id="0" name="Picture"/>
                    <pic:cNvPicPr>
                      <a:picLocks noChangeArrowheads="1" noChangeAspect="1"/>
                    </pic:cNvPicPr>
                  </pic:nvPicPr>
                  <pic:blipFill>
                    <a:blip r:embed="rId176"/>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13</w:t>
      </w:r>
      <w:r>
        <w:t xml:space="preserve">). While the total frequency of any dementia outcome declines in more recent strata, likely due to the limited follow-up inherent to these groups, the decline in frequency is relatively constant across all dementia subtypes.</w:t>
      </w:r>
    </w:p>
    <w:p>
      <w:pPr>
        <w:pStyle w:val="BodyText"/>
      </w:pPr>
      <w:r>
        <w:t xml:space="preserve"> </w:t>
      </w:r>
    </w:p>
    <w:p>
      <w:pPr>
        <w:pStyle w:val="TableCaption"/>
      </w:pPr>
      <w:r>
        <w:t xml:space="preserve">Table 13:</w:t>
      </w:r>
      <w:r>
        <w:t xml:space="preserve"> </w:t>
      </w:r>
      <w:bookmarkStart w:id="dc753812-f076-41d9-8b56-1c27a933b07a" w:name="tab:diagnosisType-table"/>
      <w:r>
        <w:t xml:space="preserve">Frequency of diagnoses by grouped year of cohort entry</w:t>
      </w:r>
      <w:bookmarkEnd w:id="dc753812-f076-41d9-8b56-1c27a933b07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Year of cohort entry</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Probable AD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Possible AD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Vascular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Other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&gt;=1996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148550 (95.9%)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1775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1677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1345 (0.9%)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1585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154932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613009 (96.3%)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6672 (1.0%)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5711 (0.9%)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4857 (0.8%)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6073 (1.0%)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636322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523913 (98.1%)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3355 (0.6%)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2169 (0.4%)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1890 (0.4%)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2506 (0.5%)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533833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&gt;=2011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357262 (99.4%)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845 (0.2%)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397 (0.1%)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374 (0.1%)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599 (0.2%)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359477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1642734 (97.5%)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12647 (0.8%)</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9954 (0.6%)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8466 (0.5%)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10763 (0.6%)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1684564</w:t>
            </w:r>
          </w:p>
        </w:tc>
      </w:tr>
    </w:tbl>
    <w:p>
      <w:pPr>
        <w:pStyle w:val="BodyText"/>
      </w:pPr>
      <w:r>
        <w:t xml:space="preserve"> </w:t>
      </w:r>
    </w:p>
    <w:bookmarkEnd w:id="177"/>
    <w:bookmarkStart w:id="179" w:name="sensitivity-cohorts-pregnancy"/>
    <w:p>
      <w:pPr>
        <w:pStyle w:val="Heading4"/>
      </w:pPr>
      <w:r>
        <w:t xml:space="preserve">Sensitivity cohorts: Pregnancy</w:t>
      </w:r>
    </w:p>
    <w:p>
      <w:pPr>
        <w:pStyle w:val="FirstParagraph"/>
      </w:pPr>
      <w:r>
        <w:t xml:space="preserve">In the second sensitivity cohort, removing participants coded as female and aged 55 and under at index from the analysis had minimal effect on the effect estimates (Figure</w:t>
      </w:r>
      <w:r>
        <w:t xml:space="preserve"> </w:t>
      </w:r>
      <w:r>
        <w:t xml:space="preserve">14</w:t>
      </w:r>
      <w:r>
        <w:t xml:space="preserve">).</w:t>
      </w:r>
    </w:p>
    <w:p>
      <w:pPr>
        <w:pStyle w:val="BodyText"/>
      </w:pPr>
      <w:r>
        <w:drawing>
          <wp:inline>
            <wp:extent cx="5943600" cy="3301733"/>
            <wp:effectExtent b="0" l="0" r="0" t="0"/>
            <wp:docPr descr="Figure 14: Comparison of analysis using main cohort and a cohort with potentially pregnany women removed." title="" id="1" name="Picture"/>
            <a:graphic>
              <a:graphicData uri="http://schemas.openxmlformats.org/drawingml/2006/picture">
                <pic:pic>
                  <pic:nvPicPr>
                    <pic:cNvPr descr="figures/cprd-analysis/fp_pregnancy.jpeg" id="0" name="Picture"/>
                    <pic:cNvPicPr>
                      <a:picLocks noChangeArrowheads="1" noChangeAspect="1"/>
                    </pic:cNvPicPr>
                  </pic:nvPicPr>
                  <pic:blipFill>
                    <a:blip r:embed="rId178"/>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bookmarkEnd w:id="179"/>
    <w:bookmarkStart w:id="181"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14</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14:</w:t>
      </w:r>
      <w:r>
        <w:t xml:space="preserve"> </w:t>
      </w:r>
      <w:bookmarkStart w:id="fcfba272-7043-4d88-b574-18c25f3a980f" w:name="tab:statinTypeTable-table"/>
      <w:r>
        <w:t xml:space="preserve">Summary of statin properties (lipophilicity vs hydrophilicity) by grouped year of prescription.</w:t>
      </w:r>
      <w:bookmarkEnd w:id="fcfba272-7043-4d88-b574-18c25f3a980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Prescription Year Group</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Hydrophilic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Lipophilic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&gt;=1996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7037 (18.2%)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31531 (81.8%)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38568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21427 (10.3%)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187018 (89.7%)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208445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3566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217726 (98.4%)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221292</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&gt;=2011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1115 (0.9%)</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119035 (99.1%)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 outcomes compared to lipophilic statins (Figure</w:t>
      </w:r>
      <w:r>
        <w:t xml:space="preserve"> </w:t>
      </w:r>
      <w:r>
        <w:t xml:space="preserve">15</w:t>
      </w:r>
      <w:r>
        <w:t xml:space="preserve">). Additionally, in the AD outcomes, hydrophilic statins had a small protective effect, compared to the absence of evidence for an effect for lipophilic statins.</w:t>
      </w:r>
    </w:p>
    <w:p>
      <w:pPr>
        <w:pStyle w:val="BodyText"/>
      </w:pPr>
      <w:r>
        <w:t xml:space="preserve"> </w:t>
      </w:r>
    </w:p>
    <w:p>
      <w:pPr>
        <w:pStyle w:val="BodyText"/>
      </w:pPr>
      <w:r>
        <w:drawing>
          <wp:inline>
            <wp:extent cx="5943600" cy="4754880"/>
            <wp:effectExtent b="0" l="0" r="0" t="0"/>
            <wp:docPr descr="Figure 15: Analysis stratified by statin properties (hydrophilic vs lipophilic)" title="" id="1" name="Picture"/>
            <a:graphic>
              <a:graphicData uri="http://schemas.openxmlformats.org/drawingml/2006/picture">
                <pic:pic>
                  <pic:nvPicPr>
                    <pic:cNvPr descr="figures/cprd-analysis/fp_sta_type.jpeg" id="0"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 </w:t>
      </w:r>
    </w:p>
    <w:bookmarkEnd w:id="181"/>
    <w:bookmarkStart w:id="183" w:name="comparing-codelists"/>
    <w:p>
      <w:pPr>
        <w:pStyle w:val="Heading4"/>
      </w:pPr>
      <w:r>
        <w:t xml:space="preserve">Comparing codelists</w:t>
      </w:r>
    </w:p>
    <w:p>
      <w:pPr>
        <w:pStyle w:val="FirstParagraph"/>
      </w:pPr>
      <w:r>
        <w:t xml:space="preserve">When using the Smeeth et al code lists to define dementia outcomes, effect estimates of HR: 1.19 (95% CI: 1.07-1.32) and HR: 1.33 (95% CI: 1.26-1.42) were obtained for the Alzheimer’s disease and non-Alzheimer’s dementia outcomes respectively.</w:t>
      </w:r>
    </w:p>
    <w:p>
      <w:pPr>
        <w:pStyle w:val="BodyText"/>
      </w:pPr>
      <w:r>
        <w:t xml:space="preserve">However, comparison of the results using the two sets of code lists was deemed less useful following a comparison of the codes used. While all of the codes used to define Alzheimer’s in the Smeeth paper are included in the Probable Alzheimer’s code-list (see Figure</w:t>
      </w:r>
      <w:r>
        <w:t xml:space="preserve"> </w:t>
      </w:r>
      <w:r>
        <w:t xml:space="preserve">16</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196</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16: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182"/>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competing (e.g. AD vs non-AD dementia).</w:t>
      </w:r>
    </w:p>
    <w:p>
      <w:pPr>
        <w:pStyle w:val="BodyText"/>
      </w:pPr>
      <w:r>
        <w:t xml:space="preserve"> </w:t>
      </w:r>
    </w:p>
    <w:bookmarkEnd w:id="183"/>
    <w:bookmarkEnd w:id="184"/>
    <w:bookmarkEnd w:id="185"/>
    <w:bookmarkStart w:id="192" w:name="discussion-2"/>
    <w:p>
      <w:pPr>
        <w:pStyle w:val="Heading2"/>
      </w:pPr>
      <w:r>
        <w:t xml:space="preserve">Discussion</w:t>
      </w:r>
    </w:p>
    <w:bookmarkStart w:id="186" w:name="summary-of-findings"/>
    <w:p>
      <w:pPr>
        <w:pStyle w:val="Heading3"/>
      </w:pPr>
      <w:r>
        <w:t xml:space="preserve">Summary of findings</w:t>
      </w:r>
    </w:p>
    <w:p>
      <w:pPr>
        <w:pStyle w:val="FirstParagraph"/>
      </w:pPr>
      <w:r>
        <w:t xml:space="preserve">Lipid-regulating agents showed no evidence of an effect on probable and possible Alzheimer’s disease when compared with no treatment, but were associated with increased risk of an all-cause dementia, vascular dementia and other dementia diagnosis. The effect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 outcomes compared to lipophilic statins.</w:t>
      </w:r>
    </w:p>
    <w:p>
      <w:pPr>
        <w:pStyle w:val="BodyText"/>
      </w:pPr>
      <w:r>
        <w:t xml:space="preserve"> </w:t>
      </w:r>
    </w:p>
    <w:bookmarkEnd w:id="186"/>
    <w:bookmarkStart w:id="188"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comparison of the result presented above with those from the systematic review (Chapter</w:t>
      </w:r>
      <w:r>
        <w:t xml:space="preserve"> </w:t>
      </w:r>
      <w:r>
        <w:t xml:space="preserve">??</w:t>
      </w:r>
      <w:r>
        <w:t xml:space="preserve">) and the individual patient data analysis (Chapter</w:t>
      </w:r>
      <w:r>
        <w:t xml:space="preserve"> </w:t>
      </w:r>
      <w:r>
        <w:t xml:space="preserve">??</w:t>
      </w:r>
      <w:r>
        <w:t xml:space="preserve">), see Section</w:t>
      </w:r>
      <w:r>
        <w:t xml:space="preserve"> </w:t>
      </w:r>
      <w:r>
        <w:t xml:space="preserve">??</w:t>
      </w:r>
      <w:r>
        <w:t xml:space="preserve">.</w:t>
      </w:r>
    </w:p>
    <w:p>
      <w:pPr>
        <w:pStyle w:val="BodyText"/>
      </w:pPr>
      <w:r>
        <w:t xml:space="preserve">A likely explanation for the observed increased risk of vascular and other dementia with lipid regulating agent use is residual confounding by indication. While the term has been used to describe different source of bias in epidemiological analyses,</w:t>
      </w:r>
      <w:hyperlink w:anchor="ref-salas1999">
        <w:r>
          <w:rPr>
            <w:rStyle w:val="Hyperlink"/>
            <w:vertAlign w:val="superscript"/>
          </w:rPr>
          <w:t xml:space="preserve">198</w:t>
        </w:r>
      </w:hyperlink>
      <w:r>
        <w:t xml:space="preserve"> </w:t>
      </w:r>
      <w:r>
        <w:t xml:space="preserve">“</w:t>
      </w:r>
      <w:r>
        <w:t xml:space="preserve">confounding by indication</w:t>
      </w:r>
      <w:r>
        <w:t xml:space="preserve">”</w:t>
      </w:r>
      <w:r>
        <w:t xml:space="preserve"> </w:t>
      </w:r>
      <w:r>
        <w:t xml:space="preserve">is used here to described the role of risk factors that both prompt treatment (in this case statins) and increase the risk of the outcome (in this case vascular dementia), thus causing a distorted positive association between the treatment and outcome (see Figure</w:t>
      </w:r>
      <w:r>
        <w:t xml:space="preserve"> </w:t>
      </w:r>
      <w:r>
        <w:t xml:space="preserve">17</w:t>
      </w:r>
      <w:r>
        <w:t xml:space="preserve">). In causal inference language, statins and dementia are said to be d-connected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199</w:t>
        </w:r>
      </w:hyperlink>
    </w:p>
    <w:p>
      <w:pPr>
        <w:pStyle w:val="BodyText"/>
      </w:pPr>
      <w:r>
        <w:t xml:space="preserve">(ref:indicationBias-cap) Causal diagram (directed acyclic graph) illustrating confounding by indication.</w:t>
      </w:r>
    </w:p>
    <w:p>
      <w:pPr>
        <w:pStyle w:val="BodyText"/>
      </w:pPr>
      <w:r>
        <w:drawing>
          <wp:inline>
            <wp:extent cx="5943600" cy="2228849"/>
            <wp:effectExtent b="0" l="0" r="0" t="0"/>
            <wp:docPr descr="Figure 17: (ref:indicationBias-cap)"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187"/>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p>
    <w:p>
      <w:pPr>
        <w:pStyle w:val="BodyText"/>
      </w:pPr>
      <w:r>
        <w:t xml:space="preserve">In the case of this analysis, the confounding variable (or, more likely, variables) would prompt prescription of statins (or another lipid regulating agent) but also represent a vascular risk factor that contributes to the development of the vascular dementia.</w:t>
      </w:r>
    </w:p>
    <w:p>
      <w:pPr>
        <w:pStyle w:val="BodyText"/>
      </w:pPr>
      <w:r>
        <w:t xml:space="preserve">Supporting evidence for this interpretation comes from a variety of sources, including the results of the control outcome analyses. The slight harmful effect for the backpain outcome is substantially smaller that that observed for the ischemic heart disease outcome, indicating that the majority of the uncontrolled confounding is likely related to vascular factors. This is supported by the increasingly harmful effect moving from Probable/Possible AD to other dementia to vascular dementia, indicating that the confounding by indication likely increases as the proportion of vascular outcomes increase. This is supported by the decision tree for assigning outcomes in the presence of greater than one dementia code, where the Alzheimer’s disease outcomes require a</w:t>
      </w:r>
      <w:r>
        <w:t xml:space="preserve"> </w:t>
      </w:r>
      <w:r>
        <w:t xml:space="preserve">“</w:t>
      </w:r>
      <w:r>
        <w:t xml:space="preserve">pure</w:t>
      </w:r>
      <w:r>
        <w:t xml:space="preserve">”</w:t>
      </w:r>
      <w:r>
        <w:t xml:space="preserve"> </w:t>
      </w:r>
      <w:r>
        <w:t xml:space="preserve">condition, and the presence of any vascular or other dementia codes excludes participants from this group (Figure</w:t>
      </w:r>
      <w:r>
        <w:t xml:space="preserve"> </w:t>
      </w:r>
      <w:r>
        <w:t xml:space="preserve">5</w:t>
      </w:r>
      <w:r>
        <w:t xml:space="preserve">).</w:t>
      </w:r>
    </w:p>
    <w:p>
      <w:pPr>
        <w:pStyle w:val="BodyText"/>
      </w:pPr>
      <w:r>
        <w:t xml:space="preserve">A review of other available literature suggests that this observation (a harmful effect of lipid regulating agents on vascular-related outcome) is not unusual. Using a conventional epidemiological technique, a previous analysis also found an increased risk of coronary heart disease (analogous to ischemic heart disease) in those taking statins (HR: 1.31, 95% CI: 1.04-1.66).</w:t>
      </w:r>
      <w:hyperlink w:anchor="ref-danaei2013b">
        <w:r>
          <w:rPr>
            <w:rStyle w:val="Hyperlink"/>
            <w:vertAlign w:val="superscript"/>
          </w:rPr>
          <w:t xml:space="preserve">200</w:t>
        </w:r>
      </w:hyperlink>
      <w:r>
        <w:t xml:space="preserve"> </w:t>
      </w:r>
      <w:r>
        <w:t xml:space="preserve">Following control for confounding by indication through use of a trial emulation analysis, the expected protective effect of statins was observed.</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I also adjusted for several additional potential baseline variables. However, important confounding variables for which I have not adjusted could include genetic factors. A recent preprint of a study in the UK Biobank demonstrated that an Alzheimer’s disease polygenic risk score was associated with an increased risk of vascular dementia, and also with an increased frequency of self-reported raised cholesterol levels, a diagnosis of hypercholesterolaemia, and a history of taking lipid-regulating agents such as statins or ezetimibe.</w:t>
      </w:r>
      <w:hyperlink w:anchor="ref-korologou-linden2020">
        <w:r>
          <w:rPr>
            <w:rStyle w:val="Hyperlink"/>
            <w:vertAlign w:val="superscript"/>
          </w:rPr>
          <w:t xml:space="preserve">201</w:t>
        </w:r>
      </w:hyperlink>
    </w:p>
    <w:p>
      <w:pPr>
        <w:pStyle w:val="BodyText"/>
      </w:pPr>
      <w:r>
        <w:t xml:space="preserve">On a more general note, the unexpected increase in vascular dementia risk with statin use is particularly interesting given the absence of vascular dementia in the published literature, as highlighted in the previous chapter (see Section</w:t>
      </w:r>
      <w:r>
        <w:t xml:space="preserve"> </w:t>
      </w:r>
      <w:r>
        <w:t xml:space="preserve">4.4.8</w:t>
      </w:r>
      <w:r>
        <w:t xml:space="preserve">). It is possible that previous research identified a similar effect to this analysis, and via a publication bias mechanism, these results did not make it into the evidence base.</w:t>
      </w:r>
    </w:p>
    <w:p>
      <w:pPr>
        <w:pStyle w:val="BodyText"/>
      </w:pPr>
      <w:r>
        <w:t xml:space="preserve">In summary, despite best efforts to account for strong confounding, participants prescribed a lipid regulating agent likely have a different vascular risk profile that those who are not, which may induce a spurious harmful association between lipid regulating agent use and vascular dementia outcomes.</w:t>
      </w:r>
    </w:p>
    <w:p>
      <w:pPr>
        <w:pStyle w:val="BodyText"/>
      </w:pPr>
      <w:r>
        <w:t xml:space="preserve"> </w:t>
      </w:r>
    </w:p>
    <w:bookmarkEnd w:id="188"/>
    <w:bookmarkStart w:id="189" w:name="strengths-and-limitations"/>
    <w:p>
      <w:pPr>
        <w:pStyle w:val="Heading3"/>
      </w:pPr>
      <w:r>
        <w:t xml:space="preserve">Strengths and limitations</w:t>
      </w:r>
    </w:p>
    <w:p>
      <w:pPr>
        <w:pStyle w:val="FirstParagraph"/>
      </w:pPr>
      <w:r>
        <w:t xml:space="preserve">The primary strength of this analysis compared to others available in the literature is the relative size of the CPRD and length of follow-up. Having reviewed the other studies identified by the systematic review in Chapter</w:t>
      </w:r>
      <w:r>
        <w:t xml:space="preserve"> </w:t>
      </w:r>
      <w:r>
        <w:t xml:space="preserve">4</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w:t>
      </w:r>
    </w:p>
    <w:p>
      <w:pPr>
        <w:pStyle w:val="BodyText"/>
      </w:pPr>
      <w:r>
        <w:t xml:space="preserve">However, the findings of this analysis are subject to several limitations. There is a strong possibility of differential misclassification</w:t>
      </w:r>
      <w:hyperlink w:anchor="ref-porta2014dictionary">
        <w:r>
          <w:rPr>
            <w:rStyle w:val="Hyperlink"/>
            <w:vertAlign w:val="superscript"/>
          </w:rPr>
          <w:t xml:space="preserve">202</w:t>
        </w:r>
      </w:hyperlink>
      <w:r>
        <w:t xml:space="preserve"> </w:t>
      </w:r>
      <w:r>
        <w:t xml:space="preserve">of dementia-related conditions based on the exposure. 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based on varying positive predictive value of electronic health record code lists to identify dementia cases.</w:t>
      </w:r>
      <w:hyperlink w:anchor="ref-wilkinson2018">
        <w:r>
          <w:rPr>
            <w:rStyle w:val="Hyperlink"/>
            <w:vertAlign w:val="superscript"/>
          </w:rPr>
          <w:t xml:space="preserve">203</w:t>
        </w:r>
      </w:hyperlink>
      <w:r>
        <w:rPr>
          <w:vertAlign w:val="superscript"/>
        </w:rPr>
        <w:t xml:space="preserve">,</w:t>
      </w:r>
      <w:hyperlink w:anchor="ref-mcguinness2019b">
        <w:r>
          <w:rPr>
            <w:rStyle w:val="Hyperlink"/>
            <w:vertAlign w:val="superscript"/>
          </w:rPr>
          <w:t xml:space="preserve">204</w:t>
        </w:r>
      </w:hyperlink>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This is a particular challenge in comparing research across different time-periods and coding systems, as illustrated by the discrepancy between the results when using the codes lists defined for this study and those used by Smeeth</w:t>
      </w:r>
      <w:r>
        <w:t xml:space="preserve"> </w:t>
      </w:r>
      <w:r>
        <w:rPr>
          <w:iCs/>
          <w:i/>
        </w:rPr>
        <w:t xml:space="preserve">et al</w:t>
      </w:r>
      <w:r>
        <w:t xml:space="preserve">.</w:t>
      </w:r>
    </w:p>
    <w:p>
      <w:pPr>
        <w:pStyle w:val="BodyText"/>
      </w:pPr>
      <w:r>
        <w:t xml:space="preserve"> </w:t>
      </w:r>
    </w:p>
    <w:bookmarkEnd w:id="189"/>
    <w:bookmarkStart w:id="190" w:name="cprd-data-avail"/>
    <w:p>
      <w:pPr>
        <w:pStyle w:val="Heading3"/>
      </w:pPr>
      <w:r>
        <w:t xml:space="preserve">Enabling easy synthesis of this analysis</w:t>
      </w:r>
    </w:p>
    <w:p>
      <w:pPr>
        <w:pStyle w:val="FirstParagraph"/>
      </w:pPr>
      <w:r>
        <w:t xml:space="preserve">In light of my own experiences in attempting to extract information for papers assessing preventative treatments, as documented in Section</w:t>
      </w:r>
      <w:r>
        <w:t xml:space="preserve"> </w:t>
      </w:r>
      <w:r>
        <w:t xml:space="preserve">4.5.4</w:t>
      </w:r>
      <w:r>
        <w:t xml:space="preserve">, the outputs from this analysis are readily available.</w:t>
      </w:r>
    </w:p>
    <w:p>
      <w:pPr>
        <w:pStyle w:val="BodyText"/>
      </w:pPr>
      <w:r>
        <w:t xml:space="preserve">All code, Read codelists and summary statistics (i.e. the tables presented in this chapter, plus summary tables of effect estimates) are readily available in machine readable formats (i.e. as comma separated values, or CSV, files) from the archived repository for this project (Zotero DOI: XXXX-XXXX).</w:t>
      </w:r>
      <w:r>
        <w:t xml:space="preserve"> </w:t>
      </w:r>
    </w:p>
    <w:p>
      <w:pPr>
        <w:pStyle w:val="BodyText"/>
      </w:pPr>
      <w:r>
        <w:t xml:space="preserve">The raw data supporting this analysis is not available, as access to the CPRD data is controlled by a data monitoring committee. In the context of access-controlled data, sharing the analysis code represents a way for readers to validate the findings.</w:t>
      </w:r>
      <w:hyperlink w:anchor="ref-goldacre2019c">
        <w:r>
          <w:rPr>
            <w:rStyle w:val="Hyperlink"/>
            <w:vertAlign w:val="superscript"/>
          </w:rPr>
          <w:t xml:space="preserve">205</w:t>
        </w:r>
      </w:hyperlink>
    </w:p>
    <w:p>
      <w:pPr>
        <w:pStyle w:val="BodyText"/>
      </w:pPr>
      <w:r>
        <w:t xml:space="preserve">Additionally, to help ensure accurate reporting of this analysis, the Strengthening the Reporting of Observational Studies in Epidemiology (STROBE) reporting guidelines were used</w:t>
      </w:r>
      <w:hyperlink w:anchor="ref-vandenbroucke2007">
        <w:r>
          <w:rPr>
            <w:rStyle w:val="Hyperlink"/>
            <w:vertAlign w:val="superscript"/>
          </w:rPr>
          <w:t xml:space="preserve">206</w:t>
        </w:r>
      </w:hyperlink>
      <w:r>
        <w:t xml:space="preserve"> </w:t>
      </w:r>
      <w:r>
        <w:t xml:space="preserve">(see Appendix</w:t>
      </w:r>
      <w:r>
        <w:t xml:space="preserve"> </w:t>
      </w:r>
      <w:r>
        <w:t xml:space="preserve">??</w:t>
      </w:r>
      <w:r>
        <w:t xml:space="preserve"> </w:t>
      </w:r>
      <w:r>
        <w:t xml:space="preserve">for the STROBE checklist).</w:t>
      </w:r>
      <w:r>
        <w:t xml:space="preserve"> </w:t>
      </w:r>
    </w:p>
    <w:p>
      <w:pPr>
        <w:pStyle w:val="BodyText"/>
      </w:pPr>
      <w:r>
        <w:t xml:space="preserve">This open approach will enable easy inclusion of this analysis in future evidence synthesis exercises, allowing new work to readily build on that presented here.</w:t>
      </w:r>
    </w:p>
    <w:p>
      <w:pPr>
        <w:pStyle w:val="BodyText"/>
      </w:pPr>
      <w:r>
        <w:t xml:space="preserve"> </w:t>
      </w:r>
    </w:p>
    <w:bookmarkEnd w:id="190"/>
    <w:bookmarkStart w:id="191" w:name="conclusions"/>
    <w:p>
      <w:pPr>
        <w:pStyle w:val="Heading3"/>
      </w:pPr>
      <w:r>
        <w:t xml:space="preserve">Conclusions</w:t>
      </w:r>
    </w:p>
    <w:p>
      <w:pPr>
        <w:pStyle w:val="FirstParagraph"/>
      </w:pPr>
      <w:r>
        <w:t xml:space="preserve">This chapter has provided new evidence on the potential repurposing of lipid-regulating agents for the prevention of all-cause dementia, Alzheimer’s disease, vascular dementia, and other dementia. It made use of a large scale electronic health record database, the CPRD, and employed a time-varying Cox proportional hazards model to account for the potential immortal time bias.</w:t>
      </w:r>
    </w:p>
    <w:p>
      <w:pPr>
        <w:pStyle w:val="BodyText"/>
      </w:pPr>
      <w:r>
        <w:t xml:space="preserve">It found no evidence for an effect of lipid-regulating agents on probable or possible Alzheimer’s disease. However, lipid 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4</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This is supported by our findings for the negative and positive control outcomes used, which provide some evidence of uncontrolled vascular confounders that may both prompt LRA prescription and increase risk of vascular dementia.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200</w:t>
        </w:r>
      </w:hyperlink>
    </w:p>
    <w:p>
      <w:pPr>
        <w:pStyle w:val="BodyText"/>
      </w:pPr>
      <w:r>
        <w:t xml:space="preserve">Regardless, this analysis has provided an additional source of evidence for the triangulation exercise presented in Chapter</w:t>
      </w:r>
      <w:r>
        <w:t xml:space="preserve"> </w:t>
      </w:r>
      <w:r>
        <w:t xml:space="preserve">7</w:t>
      </w:r>
      <w:r>
        <w:t xml:space="preserve">. In the following Chapter, the dataset described here is incorporated along with several other datasets as part of an IPD analysis to investigate the effect of blood lipid levels on dementia outcomes directly, rather than via the proxy of treatment.</w:t>
      </w:r>
    </w:p>
    <w:p>
      <w:r>
        <w:br w:type="page"/>
      </w:r>
    </w:p>
    <w:bookmarkEnd w:id="191"/>
    <w:bookmarkEnd w:id="192"/>
    <w:bookmarkStart w:id="193" w:name="references-3"/>
    <w:p>
      <w:pPr>
        <w:pStyle w:val="Heading2"/>
      </w:pPr>
      <w:r>
        <w:t xml:space="preserve">References</w:t>
      </w:r>
    </w:p>
    <w:p>
      <w:pPr>
        <w:pStyle w:val="FirstParagraph"/>
      </w:pPr>
      <w:r>
        <w:t xml:space="preserve">— Hold — Hold</w:t>
      </w:r>
    </w:p>
    <w:bookmarkEnd w:id="193"/>
    <w:bookmarkEnd w:id="194"/>
    <w:bookmarkStart w:id="206" w:name="ipd-heading"/>
    <w:p>
      <w:pPr>
        <w:pStyle w:val="Heading1"/>
      </w:pPr>
      <w:r>
        <w:t xml:space="preserve">Individual participant data meta-analysis</w:t>
      </w:r>
    </w:p>
    <w:p>
      <w:pPr>
        <w:pStyle w:val="FirstParagraph"/>
      </w:pPr>
    </w:p>
    <w:bookmarkStart w:id="195" w:name="lay-summary-4"/>
    <w:p>
      <w:pPr>
        <w:pStyle w:val="Heading2"/>
      </w:pPr>
      <w:r>
        <w:t xml:space="preserve">Lay Summary</w:t>
      </w:r>
    </w:p>
    <w:bookmarkEnd w:id="195"/>
    <w:bookmarkStart w:id="196" w:name="introduction-2"/>
    <w:p>
      <w:pPr>
        <w:pStyle w:val="Heading2"/>
      </w:pPr>
      <w:r>
        <w:t xml:space="preserve">Introduction</w:t>
      </w:r>
    </w:p>
    <w:p>
      <w:pPr>
        <w:pStyle w:val="FirstParagraph"/>
      </w:pPr>
      <w:r>
        <w:t xml:space="preserve">Is there a good way to visualise input of cohorts into an IPD analysis?</w:t>
      </w:r>
    </w:p>
    <w:bookmarkEnd w:id="196"/>
    <w:bookmarkStart w:id="201" w:name="methods-2"/>
    <w:p>
      <w:pPr>
        <w:pStyle w:val="Heading2"/>
      </w:pPr>
      <w:r>
        <w:t xml:space="preserve">Methods</w:t>
      </w:r>
    </w:p>
    <w:p>
      <w:pPr>
        <w:pStyle w:val="FirstParagraph"/>
      </w:pPr>
      <w:r>
        <w:t xml:space="preserve">As part of the IPD analysis, relevant cohort studies were identified from the sty and approached. In the first instance, the corresponding author on the main man</w:t>
      </w:r>
    </w:p>
    <w:p>
      <w:pPr>
        <w:pStyle w:val="BodyText"/>
      </w:pPr>
      <w:r>
        <w:t xml:space="preserve">Talk about how different covariates were managed across cohorts,</w:t>
      </w:r>
    </w:p>
    <w:p>
      <w:pPr>
        <w:pStyle w:val="BodyText"/>
      </w:pPr>
      <w:r>
        <w:t xml:space="preserve">Talk about missing data was handled</w:t>
      </w:r>
      <w:r>
        <w:t xml:space="preserve"> </w:t>
      </w:r>
    </w:p>
    <w:bookmarkStart w:id="197" w:name="data-sources"/>
    <w:p>
      <w:pPr>
        <w:pStyle w:val="Heading3"/>
      </w:pPr>
      <w:r>
        <w:t xml:space="preserve">Data sources</w:t>
      </w:r>
    </w:p>
    <w:p>
      <w:pPr>
        <w:pStyle w:val="FirstParagraph"/>
      </w:pPr>
      <w:r>
        <w:t xml:space="preserve">Several cohort studies were approach</w:t>
      </w:r>
    </w:p>
    <w:p>
      <w:pPr>
        <w:pStyle w:val="BodyText"/>
      </w:pPr>
      <w:r>
        <w:t xml:space="preserve">As part of this Chapter, I will use individual patient data from a range of sources. These sources are described here in detail for reference.</w:t>
      </w:r>
    </w:p>
    <w:p>
      <w:pPr>
        <w:pStyle w:val="BodyText"/>
      </w:pPr>
      <w:r>
        <w:t xml:space="preserve">Should also include a list of reasons why specific additional cohorts were not included - some like the EHR might be too big to get</w:t>
      </w:r>
    </w:p>
    <w:p>
      <w:pPr>
        <w:pStyle w:val="BodyText"/>
      </w:pPr>
      <w:r>
        <w:t xml:space="preserve">Each should have:</w:t>
      </w:r>
    </w:p>
    <w:p>
      <w:pPr>
        <w:numPr>
          <w:ilvl w:val="0"/>
          <w:numId w:val="1014"/>
        </w:numPr>
        <w:pStyle w:val="Compact"/>
      </w:pPr>
      <w:r>
        <w:t xml:space="preserve">Description (including observation period, numbers, numbers with outcome, etc)</w:t>
      </w:r>
    </w:p>
    <w:p>
      <w:pPr>
        <w:numPr>
          <w:ilvl w:val="0"/>
          <w:numId w:val="1014"/>
        </w:numPr>
        <w:pStyle w:val="Compact"/>
      </w:pPr>
      <w:r>
        <w:t xml:space="preserve">Whether they are a known genetically at-risk cohort</w:t>
      </w:r>
    </w:p>
    <w:bookmarkEnd w:id="197"/>
    <w:bookmarkStart w:id="198" w:name="epic-norfolk"/>
    <w:p>
      <w:pPr>
        <w:pStyle w:val="Heading3"/>
      </w:pPr>
      <w:r>
        <w:t xml:space="preserve">Epic Norfolk</w:t>
      </w:r>
    </w:p>
    <w:p>
      <w:pPr>
        <w:pStyle w:val="FirstParagraph"/>
      </w:pPr>
      <w:r>
        <w:t xml:space="preserve">The European Prospective Investigation of Cancer - Norfolk is a</w:t>
      </w:r>
      <w:hyperlink w:anchor="ref-riboli1997">
        <w:r>
          <w:rPr>
            <w:rStyle w:val="Hyperlink"/>
            <w:vertAlign w:val="superscript"/>
          </w:rPr>
          <w:t xml:space="preserve">207</w:t>
        </w:r>
      </w:hyperlink>
      <w:r>
        <w:rPr>
          <w:vertAlign w:val="superscript"/>
        </w:rPr>
        <w:t xml:space="preserve">,</w:t>
      </w:r>
      <w:hyperlink w:anchor="ref-riboli2002">
        <w:r>
          <w:rPr>
            <w:rStyle w:val="Hyperlink"/>
            <w:vertAlign w:val="superscript"/>
          </w:rPr>
          <w:t xml:space="preserve">208</w:t>
        </w:r>
      </w:hyperlink>
    </w:p>
    <w:p>
      <w:pPr>
        <w:pStyle w:val="BodyText"/>
      </w:pPr>
      <w:r>
        <w:t xml:space="preserve">Different approaches to combining subgroups.</w:t>
      </w:r>
      <w:hyperlink w:anchor="ref-fisher2017">
        <w:r>
          <w:rPr>
            <w:rStyle w:val="Hyperlink"/>
            <w:vertAlign w:val="superscript"/>
          </w:rPr>
          <w:t xml:space="preserve">209</w:t>
        </w:r>
      </w:hyperlink>
    </w:p>
    <w:p>
      <w:pPr>
        <w:pStyle w:val="BodyText"/>
      </w:pPr>
      <w:r>
        <w:t xml:space="preserve">Several DPUK cohorts were excluded on the basis of a lack of exposure variables, including Cam-CAN (had cardiovascular category, but only contained blood pressure).</w:t>
      </w:r>
    </w:p>
    <w:p>
      <w:pPr>
        <w:pStyle w:val="BodyText"/>
      </w:pPr>
      <w:r>
        <w:t xml:space="preserve">See</w:t>
      </w:r>
    </w:p>
    <w:bookmarkEnd w:id="198"/>
    <w:bookmarkStart w:id="199" w:name="risk-of-bias-assessment"/>
    <w:p>
      <w:pPr>
        <w:pStyle w:val="Heading3"/>
      </w:pPr>
      <w:r>
        <w:t xml:space="preserve">Risk of bias assessment</w:t>
      </w:r>
    </w:p>
    <w:p>
      <w:pPr>
        <w:pStyle w:val="FirstParagraph"/>
      </w:pPr>
      <w:r>
        <w:t xml:space="preserve">Risk of bias assessment was performed for each of the included cohorts using the relevant tool described in Section</w:t>
      </w:r>
      <w:r>
        <w:t xml:space="preserve"> </w:t>
      </w:r>
      <w:r>
        <w:t xml:space="preserve">4.3.5</w:t>
      </w:r>
      <w:r>
        <w:t xml:space="preserve">.</w:t>
      </w:r>
    </w:p>
    <w:bookmarkEnd w:id="199"/>
    <w:bookmarkStart w:id="200" w:name="data-cleaning"/>
    <w:p>
      <w:pPr>
        <w:pStyle w:val="Heading3"/>
      </w:pPr>
      <w:r>
        <w:t xml:space="preserve">Data cleaning</w:t>
      </w:r>
    </w:p>
    <w:bookmarkEnd w:id="200"/>
    <w:bookmarkEnd w:id="201"/>
    <w:bookmarkStart w:id="205" w:name="discussion-3"/>
    <w:p>
      <w:pPr>
        <w:pStyle w:val="Heading2"/>
      </w:pPr>
      <w:r>
        <w:t xml:space="preserve">Discussion</w:t>
      </w:r>
    </w:p>
    <w:p>
      <w:pPr>
        <w:pStyle w:val="FirstParagraph"/>
      </w:pPr>
      <w:r>
        <w:t xml:space="preserve">Letters sent to all cohorts identified through the systematic review - will need quite a bit here on the numbers approached and how they responded if at all. Will also need to comment on the additional tactics used.</w:t>
      </w:r>
    </w:p>
    <w:p>
      <w:pPr>
        <w:pStyle w:val="BodyText"/>
      </w:pPr>
      <w:r>
        <w:t xml:space="preserve">This is likely due to my junior position as a early career research combined with the impact</w:t>
      </w:r>
    </w:p>
    <w:p>
      <w:pPr>
        <w:pStyle w:val="BodyText"/>
      </w:pPr>
      <w:r>
        <w:t xml:space="preserve">Range of reasons why data is not readily available. Privacy concerns, concerns around scoping or</w:t>
      </w:r>
      <w:r>
        <w:t xml:space="preserve"> </w:t>
      </w:r>
      <w:r>
        <w:t xml:space="preserve">“</w:t>
      </w:r>
      <w:r>
        <w:t xml:space="preserve">parasitic</w:t>
      </w:r>
      <w:r>
        <w:t xml:space="preserve">”</w:t>
      </w:r>
      <w:r>
        <w:t xml:space="preserve"> </w:t>
      </w:r>
      <w:r>
        <w:t xml:space="preserve">behaviour, and a lack of trust (i.e. primary researchers do not trust secondary researchers).</w:t>
      </w:r>
    </w:p>
    <w:p>
      <w:pPr>
        <w:pStyle w:val="BodyText"/>
      </w:pPr>
      <w:r>
        <w:t xml:space="preserve">Unfortunately,</w:t>
      </w:r>
    </w:p>
    <w:p>
      <w:pPr>
        <w:pStyle w:val="BodyText"/>
      </w:pPr>
      <w:r>
        <w:t xml:space="preserve">As part of this, an analysis of</w:t>
      </w:r>
    </w:p>
    <w:bookmarkStart w:id="202" w:name="reflections-on-data-access"/>
    <w:p>
      <w:pPr>
        <w:pStyle w:val="Heading3"/>
      </w:pPr>
      <w:r>
        <w:t xml:space="preserve">Reflections on data access</w:t>
      </w:r>
    </w:p>
    <w:p>
      <w:pPr>
        <w:pStyle w:val="FirstParagraph"/>
      </w:pPr>
      <w:r>
        <w:t xml:space="preserve">Describe your experience of trying to access the DPUK - while a great resources, frustrating at times. The portal would benefit from a centralised management system and</w:t>
      </w:r>
    </w:p>
    <w:bookmarkEnd w:id="202"/>
    <w:bookmarkStart w:id="204" w:name="study-within-a-review"/>
    <w:p>
      <w:pPr>
        <w:pStyle w:val="Heading3"/>
      </w:pPr>
      <w:r>
        <w:t xml:space="preserve">Study within a review</w:t>
      </w:r>
    </w:p>
    <w:p>
      <w:pPr>
        <w:pStyle w:val="FirstParagraph"/>
      </w:pPr>
      <w:r>
        <w:t xml:space="preserve">In future, it could have been worth running a</w:t>
      </w:r>
      <w:r>
        <w:t xml:space="preserve"> </w:t>
      </w:r>
      <w:r>
        <w:t xml:space="preserve">“</w:t>
      </w:r>
      <w:r>
        <w:t xml:space="preserve">study within a review</w:t>
      </w:r>
      <w:r>
        <w:t xml:space="preserve">”</w:t>
      </w:r>
      <w:r>
        <w:t xml:space="preserve">, such as that used to examine whe</w:t>
      </w:r>
    </w:p>
    <w:p>
      <w:pPr>
        <w:pStyle w:val="BodyText"/>
      </w:pPr>
      <w:hyperlink r:id="rId203">
        <w:r>
          <w:rPr>
            <w:rStyle w:val="Hyperlink"/>
          </w:rPr>
          <w:t xml:space="preserve">https://bmjopen.bmj.com/content/9/1/e025273</w:t>
        </w:r>
      </w:hyperlink>
    </w:p>
    <w:p>
      <w:pPr>
        <w:pStyle w:val="BodyText"/>
      </w:pPr>
      <w:r>
        <w:t xml:space="preserve">— Hold — Hold</w:t>
      </w:r>
    </w:p>
    <w:bookmarkEnd w:id="204"/>
    <w:bookmarkEnd w:id="205"/>
    <w:bookmarkEnd w:id="206"/>
    <w:bookmarkStart w:id="218" w:name="discussion-heading"/>
    <w:p>
      <w:pPr>
        <w:pStyle w:val="Heading1"/>
      </w:pPr>
      <w:r>
        <w:t xml:space="preserve">Discussion</w:t>
      </w:r>
    </w:p>
    <w:p>
      <w:pPr>
        <w:pStyle w:val="FirstParagraph"/>
      </w:pPr>
    </w:p>
    <w:bookmarkStart w:id="208" w:name="Xaed70c6bfbe9ac75ed11abe63d990e0ab7358f2"/>
    <w:p>
      <w:pPr>
        <w:pStyle w:val="Heading2"/>
      </w:pPr>
      <w:r>
        <w:t xml:space="preserve">Triangulation across exisiting evidence and evidence produced in this thesis</w:t>
      </w:r>
    </w:p>
    <w:bookmarkStart w:id="207" w:name="triangulation-overview"/>
    <w:p>
      <w:pPr>
        <w:pStyle w:val="Heading3"/>
      </w:pPr>
      <w:r>
        <w:t xml:space="preserve">Overview of triangulation</w:t>
      </w:r>
    </w:p>
    <w:p>
      <w:pPr>
        <w:pStyle w:val="FirstParagraph"/>
      </w:pPr>
      <w:r>
        <w:t xml:space="preserve">Using the review of the literature as a guide to identify useful further studies that could be performed, I then performed .</w:t>
      </w:r>
    </w:p>
    <w:p>
      <w:pPr>
        <w:pStyle w:val="BodyText"/>
      </w:pPr>
      <w:r>
        <w:t xml:space="preserve">Summary table of different studies and results</w:t>
      </w:r>
    </w:p>
    <w:p>
      <w:pPr>
        <w:pStyle w:val="BodyText"/>
      </w:pPr>
      <w:r>
        <w:t xml:space="preserve"> </w:t>
      </w:r>
      <w:r>
        <w:t xml:space="preserve"> </w:t>
      </w:r>
    </w:p>
    <w:bookmarkEnd w:id="207"/>
    <w:bookmarkEnd w:id="208"/>
    <w:bookmarkStart w:id="209" w:name="discussion-of-e-values"/>
    <w:p>
      <w:pPr>
        <w:pStyle w:val="Heading2"/>
      </w:pPr>
      <w:r>
        <w:t xml:space="preserve">Discussion of E-values</w:t>
      </w:r>
    </w:p>
    <w:p>
      <w:pPr>
        <w:pStyle w:val="FirstParagraph"/>
      </w:pPr>
      <w:r>
        <w:t xml:space="preserve">How strong unmeasured confounding would have to be in order to explain the observed effect.</w:t>
      </w:r>
    </w:p>
    <w:p>
      <w:pPr>
        <w:pStyle w:val="BodyText"/>
      </w:pPr>
      <w:r>
        <w:t xml:space="preserve">Heavily criticised in a range of papers.</w:t>
      </w:r>
    </w:p>
    <w:p>
      <w:pPr>
        <w:pStyle w:val="BodyText"/>
      </w:pPr>
      <w:r>
        <w:t xml:space="preserve"> </w:t>
      </w:r>
      <w:r>
        <w:t xml:space="preserve"> </w:t>
      </w:r>
    </w:p>
    <w:bookmarkEnd w:id="209"/>
    <w:bookmarkStart w:id="210" w:name="X19a11de4ab8606b74b5ad332dc48f14a8936b74"/>
    <w:p>
      <w:pPr>
        <w:pStyle w:val="Heading2"/>
      </w:pPr>
      <w:r>
        <w:t xml:space="preserve">Use of concensus panel to bring everything together</w:t>
      </w:r>
    </w:p>
    <w:p>
      <w:pPr>
        <w:pStyle w:val="FirstParagraph"/>
      </w:pPr>
      <w:r>
        <w:t xml:space="preserve"> </w:t>
      </w:r>
      <w:r>
        <w:t xml:space="preserve"> </w:t>
      </w:r>
    </w:p>
    <w:bookmarkEnd w:id="210"/>
    <w:bookmarkStart w:id="211" w:name="additional-topics-for-the-discussion"/>
    <w:p>
      <w:pPr>
        <w:pStyle w:val="Heading2"/>
      </w:pPr>
      <w:r>
        <w:t xml:space="preserve">Additional topics for the discussion</w:t>
      </w:r>
    </w:p>
    <w:p>
      <w:pPr>
        <w:pStyle w:val="FirstParagraph"/>
      </w:pPr>
      <w:r>
        <w:t xml:space="preserve">There are several addition topics I would like to cover:</w:t>
      </w:r>
    </w:p>
    <w:p>
      <w:pPr>
        <w:numPr>
          <w:ilvl w:val="0"/>
          <w:numId w:val="1015"/>
        </w:numPr>
        <w:pStyle w:val="Compact"/>
      </w:pPr>
      <w:r>
        <w:t xml:space="preserve">The difference between the peer review of the software vs. the peer review of papers. A conversation until everything is fixed/clear reporting guidelines/checklists, with acceptance dependent on them being implemented /built-in version control, and cross linking discussion points to changes through the linking of commits and comments. Essentially, a more transparent and open</w:t>
      </w:r>
    </w:p>
    <w:p>
      <w:pPr>
        <w:pStyle w:val="FirstParagraph"/>
      </w:pPr>
      <w:r>
        <w:t xml:space="preserve"> </w:t>
      </w:r>
      <w:r>
        <w:t xml:space="preserve"> </w:t>
      </w:r>
    </w:p>
    <w:bookmarkEnd w:id="211"/>
    <w:bookmarkStart w:id="212" w:name="X3b130fc6d67361b601b7baea6ee52fa2c3412e8"/>
    <w:p>
      <w:pPr>
        <w:pStyle w:val="Heading2"/>
      </w:pPr>
      <w:r>
        <w:t xml:space="preserve">Summary of findings (and implications for policy makers)</w:t>
      </w:r>
    </w:p>
    <w:p>
      <w:pPr>
        <w:pStyle w:val="FirstParagraph"/>
      </w:pPr>
      <w:r>
        <w:t xml:space="preserve"> </w:t>
      </w:r>
      <w:r>
        <w:t xml:space="preserve"> </w:t>
      </w:r>
    </w:p>
    <w:bookmarkEnd w:id="212"/>
    <w:bookmarkStart w:id="213" w:name="strengths-and-limitations-1"/>
    <w:p>
      <w:pPr>
        <w:pStyle w:val="Heading2"/>
      </w:pPr>
      <w:r>
        <w:t xml:space="preserve">Strengths and Limitations</w:t>
      </w:r>
    </w:p>
    <w:p>
      <w:pPr>
        <w:pStyle w:val="FirstParagraph"/>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210</w:t>
        </w:r>
      </w:hyperlink>
    </w:p>
    <w:p>
      <w:pPr>
        <w:pStyle w:val="BodyText"/>
      </w:pPr>
      <w:r>
        <w:t xml:space="preserve"> </w:t>
      </w:r>
      <w:r>
        <w:t xml:space="preserve"> </w:t>
      </w:r>
    </w:p>
    <w:bookmarkEnd w:id="213"/>
    <w:bookmarkStart w:id="214"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Containerisation was used to ensure that the code is reproducible, in line iwht best practices</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p>
      <w:pPr>
        <w:pStyle w:val="BodyText"/>
      </w:pPr>
      <w:r>
        <w:t xml:space="preserve"> </w:t>
      </w:r>
      <w:r>
        <w:t xml:space="preserve"> </w:t>
      </w:r>
    </w:p>
    <w:bookmarkEnd w:id="214"/>
    <w:bookmarkStart w:id="215" w:name="disc-PPI"/>
    <w:p>
      <w:pPr>
        <w:pStyle w:val="Heading2"/>
      </w:pPr>
      <w:r>
        <w:t xml:space="preserve">Public involvement and engagement</w:t>
      </w:r>
    </w:p>
    <w:p>
      <w:pPr>
        <w:pStyle w:val="FirstParagraph"/>
      </w:pPr>
      <w:r>
        <w:t xml:space="preserve">Involving and engaging the public and patients has been a central theme to this thesis.</w:t>
      </w:r>
    </w:p>
    <w:p>
      <w:pPr>
        <w:pStyle w:val="BodyText"/>
      </w:pPr>
      <w:r>
        <w:t xml:space="preserve">Public engagement activities included</w:t>
      </w:r>
    </w:p>
    <w:p>
      <w:pPr>
        <w:pStyle w:val="BodyText"/>
      </w:pPr>
      <w:r>
        <w:t xml:space="preserve">Public involvement also steered the creation of the topic</w:t>
      </w:r>
    </w:p>
    <w:p>
      <w:pPr>
        <w:pStyle w:val="BodyText"/>
      </w:pPr>
      <w:r>
        <w:t xml:space="preserve">P</w:t>
      </w:r>
    </w:p>
    <w:p>
      <w:pPr>
        <w:pStyle w:val="BodyText"/>
      </w:pPr>
      <w:r>
        <w:t xml:space="preserve"> </w:t>
      </w:r>
      <w:r>
        <w:t xml:space="preserve"> </w:t>
      </w:r>
    </w:p>
    <w:bookmarkEnd w:id="215"/>
    <w:bookmarkStart w:id="216" w:name="future-work"/>
    <w:p>
      <w:pPr>
        <w:pStyle w:val="Heading2"/>
      </w:pPr>
      <w:r>
        <w:t xml:space="preserve">Future work</w:t>
      </w:r>
    </w:p>
    <w:p>
      <w:pPr>
        <w:pStyle w:val="FirstParagraph"/>
      </w:pPr>
      <w:r>
        <w:t xml:space="preserve"> </w:t>
      </w:r>
      <w:r>
        <w:t xml:space="preserve"> </w:t>
      </w:r>
    </w:p>
    <w:bookmarkEnd w:id="216"/>
    <w:bookmarkStart w:id="217" w:name="overall-conclusions"/>
    <w:p>
      <w:pPr>
        <w:pStyle w:val="Heading2"/>
      </w:pPr>
      <w:r>
        <w:t xml:space="preserve">Overall conclusions</w:t>
      </w:r>
    </w:p>
    <w:bookmarkEnd w:id="217"/>
    <w:bookmarkEnd w:id="218"/>
    <w:bookmarkStart w:id="219" w:name="bibliography"/>
    <w:p>
      <w:pPr>
        <w:pStyle w:val="Heading1"/>
      </w:pPr>
      <w:r>
        <w:t xml:space="preserve">Bibliography</w:t>
      </w:r>
    </w:p>
    <w:bookmarkEnd w:id="219"/>
    <w:bookmarkStart w:id="487" w:name="bibliography-1"/>
    <w:p>
      <w:pPr>
        <w:pStyle w:val="Heading1"/>
      </w:pPr>
      <w:r>
        <w:t xml:space="preserve">Bibliography</w:t>
      </w:r>
    </w:p>
    <w:bookmarkStart w:id="486" w:name="refs"/>
    <w:bookmarkStart w:id="220" w:name="ref-edition2013diagnostic"/>
    <w:p>
      <w:pPr>
        <w:pStyle w:val="Bibliography"/>
      </w:pPr>
      <w:r>
        <w:t xml:space="preserve">1.</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220"/>
    <w:bookmarkStart w:id="221" w:name="ref-cerejeira2012"/>
    <w:p>
      <w:pPr>
        <w:pStyle w:val="Bibliography"/>
      </w:pPr>
      <w:r>
        <w:t xml:space="preserve">2.</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221"/>
    <w:bookmarkStart w:id="222" w:name="ref-kumar2013"/>
    <w:p>
      <w:pPr>
        <w:pStyle w:val="Bibliography"/>
      </w:pPr>
      <w:r>
        <w:t xml:space="preserve">3.</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222"/>
    <w:bookmarkStart w:id="223" w:name="ref-burns2009"/>
    <w:p>
      <w:pPr>
        <w:pStyle w:val="Bibliography"/>
      </w:pPr>
      <w:r>
        <w:t xml:space="preserve">4.</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223"/>
    <w:bookmarkStart w:id="224" w:name="ref-robinson2015"/>
    <w:p>
      <w:pPr>
        <w:pStyle w:val="Bibliography"/>
      </w:pPr>
      <w:r>
        <w:t xml:space="preserve">5.</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224"/>
    <w:bookmarkStart w:id="225" w:name="ref-iadecola2013"/>
    <w:p>
      <w:pPr>
        <w:pStyle w:val="Bibliography"/>
      </w:pPr>
      <w:r>
        <w:t xml:space="preserve">6.</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225"/>
    <w:bookmarkStart w:id="226" w:name="ref-venkat2015"/>
    <w:p>
      <w:pPr>
        <w:pStyle w:val="Bibliography"/>
      </w:pPr>
      <w:r>
        <w:t xml:space="preserve">7.</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226"/>
    <w:bookmarkStart w:id="227" w:name="ref-custodio2017"/>
    <w:p>
      <w:pPr>
        <w:pStyle w:val="Bibliography"/>
      </w:pPr>
      <w:r>
        <w:t xml:space="preserve">8.</w:t>
      </w:r>
      <w:r>
        <w:t xml:space="preserve"> </w:t>
      </w:r>
      <w:r>
        <w:t xml:space="preserve">	</w:t>
      </w:r>
      <w:r>
        <w:t xml:space="preserve">Custodio, N.</w:t>
      </w:r>
      <w:r>
        <w:t xml:space="preserve"> </w:t>
      </w:r>
      <w:r>
        <w:rPr>
          <w:iCs/>
          <w:i/>
        </w:rPr>
        <w:t xml:space="preserve">et al.</w:t>
      </w:r>
      <w:r>
        <w:t xml:space="preserve"> Mixed dementia:</w:t>
      </w:r>
      <w:r>
        <w:t xml:space="preserve"> </w:t>
      </w:r>
      <w:r>
        <w:t xml:space="preserve">A</w:t>
      </w:r>
      <w:r>
        <w:t xml:space="preserve"> </w:t>
      </w:r>
      <w:r>
        <w:t xml:space="preserve">review of the evidence.</w:t>
      </w:r>
      <w:r>
        <w:t xml:space="preserve"> </w:t>
      </w:r>
      <w:r>
        <w:rPr>
          <w:iCs/>
          <w:i/>
        </w:rPr>
        <w:t xml:space="preserve">Dementia &amp; Neuropsychologia</w:t>
      </w:r>
      <w:r>
        <w:t xml:space="preserve"> </w:t>
      </w:r>
      <w:r>
        <w:rPr>
          <w:bCs/>
          <w:b/>
        </w:rPr>
        <w:t xml:space="preserve">11</w:t>
      </w:r>
      <w:r>
        <w:t xml:space="preserve">, 364–370 (2017).</w:t>
      </w:r>
    </w:p>
    <w:bookmarkEnd w:id="227"/>
    <w:bookmarkStart w:id="228" w:name="ref-sheehan2012"/>
    <w:p>
      <w:pPr>
        <w:pStyle w:val="Bibliography"/>
      </w:pPr>
      <w:r>
        <w:t xml:space="preserve">9.</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228"/>
    <w:bookmarkStart w:id="229" w:name="ref-dubois2007"/>
    <w:p>
      <w:pPr>
        <w:pStyle w:val="Bibliography"/>
      </w:pPr>
      <w:r>
        <w:t xml:space="preserve">10.</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229"/>
    <w:bookmarkStart w:id="230" w:name="ref-roman1993vascular"/>
    <w:p>
      <w:pPr>
        <w:pStyle w:val="Bibliography"/>
      </w:pPr>
      <w:r>
        <w:t xml:space="preserve">11.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230"/>
    <w:bookmarkStart w:id="231" w:name="ref-prince2016"/>
    <w:p>
      <w:pPr>
        <w:pStyle w:val="Bibliography"/>
      </w:pPr>
      <w:r>
        <w:t xml:space="preserve">12.</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(2016).</w:t>
      </w:r>
    </w:p>
    <w:bookmarkEnd w:id="231"/>
    <w:bookmarkStart w:id="232" w:name="ref-flier2005"/>
    <w:p>
      <w:pPr>
        <w:pStyle w:val="Bibliography"/>
      </w:pPr>
      <w:r>
        <w:t xml:space="preserve">13.</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232"/>
    <w:bookmarkStart w:id="233" w:name="ref-baker2019"/>
    <w:p>
      <w:pPr>
        <w:pStyle w:val="Bibliography"/>
      </w:pPr>
      <w:r>
        <w:t xml:space="preserve">14.</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233"/>
    <w:bookmarkStart w:id="234" w:name="ref-wittenberg2019"/>
    <w:p>
      <w:pPr>
        <w:pStyle w:val="Bibliography"/>
      </w:pPr>
      <w:r>
        <w:t xml:space="preserve">15.</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234"/>
    <w:bookmarkStart w:id="235" w:name="ref-prince2014dementia"/>
    <w:p>
      <w:pPr>
        <w:pStyle w:val="Bibliography"/>
      </w:pPr>
      <w:r>
        <w:t xml:space="preserve">16.</w:t>
      </w:r>
      <w:r>
        <w:t xml:space="preserve"> </w:t>
      </w:r>
      <w:r>
        <w:t xml:space="preserve">	</w:t>
      </w:r>
      <w:r>
        <w:t xml:space="preserve">Prince, M., Albanese, E., Guerchet, M., Prina, M. &amp; others. Dementia and risk reduction: An analysis of protective and modifiable factors.</w:t>
      </w:r>
      <w:r>
        <w:t xml:space="preserve"> </w:t>
      </w:r>
      <w:r>
        <w:rPr>
          <w:iCs/>
          <w:i/>
        </w:rPr>
        <w:t xml:space="preserve">World Alzheimer Report</w:t>
      </w:r>
      <w:r>
        <w:t xml:space="preserve"> </w:t>
      </w:r>
      <w:r>
        <w:t xml:space="preserve">66–83 (2014).</w:t>
      </w:r>
    </w:p>
    <w:bookmarkEnd w:id="235"/>
    <w:bookmarkStart w:id="236" w:name="ref-cummings2020"/>
    <w:p>
      <w:pPr>
        <w:pStyle w:val="Bibliography"/>
      </w:pPr>
      <w:r>
        <w:t xml:space="preserve">17.</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236"/>
    <w:bookmarkStart w:id="237" w:name="ref-hampel2018"/>
    <w:p>
      <w:pPr>
        <w:pStyle w:val="Bibliography"/>
      </w:pPr>
      <w:r>
        <w:t xml:space="preserve">18.</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237"/>
    <w:bookmarkStart w:id="238" w:name="ref-pariente2008"/>
    <w:p>
      <w:pPr>
        <w:pStyle w:val="Bibliography"/>
      </w:pPr>
      <w:r>
        <w:t xml:space="preserve">19.</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238"/>
    <w:bookmarkStart w:id="240" w:name="ref-marucci2020"/>
    <w:p>
      <w:pPr>
        <w:pStyle w:val="Bibliography"/>
      </w:pPr>
      <w:r>
        <w:t xml:space="preserve">20.</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239">
        <w:r>
          <w:rPr>
            <w:rStyle w:val="Hyperlink"/>
          </w:rPr>
          <w:t xml:space="preserve">10.1016/j.neuropharm.2020.108352</w:t>
        </w:r>
      </w:hyperlink>
    </w:p>
    <w:bookmarkEnd w:id="240"/>
    <w:bookmarkStart w:id="241" w:name="ref-francis2010"/>
    <w:p>
      <w:pPr>
        <w:pStyle w:val="Bibliography"/>
      </w:pPr>
      <w:r>
        <w:t xml:space="preserve">21.</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241"/>
    <w:bookmarkStart w:id="242" w:name="ref-winblad2016a"/>
    <w:p>
      <w:pPr>
        <w:pStyle w:val="Bibliography"/>
      </w:pPr>
      <w:r>
        <w:t xml:space="preserve">22.</w:t>
      </w:r>
      <w:r>
        <w:t xml:space="preserve"> </w:t>
      </w:r>
      <w:r>
        <w:t xml:space="preserve">	</w:t>
      </w:r>
      <w:r>
        <w:t xml:space="preserve">Winblad, B.</w:t>
      </w:r>
      <w:r>
        <w:t xml:space="preserve"> </w:t>
      </w:r>
      <w:r>
        <w:rPr>
          <w:iCs/>
          <w:i/>
        </w:rPr>
        <w:t xml:space="preserve">et al.</w:t>
      </w:r>
      <w:r>
        <w:t xml:space="preserve"> Defeating</w:t>
      </w:r>
      <w:r>
        <w:t xml:space="preserve"> </w:t>
      </w:r>
      <w:r>
        <w:t xml:space="preserve">Alzheimer</w:t>
      </w:r>
      <w:r>
        <w:t xml:space="preserve">’s disease and other dementias: A priority for</w:t>
      </w:r>
      <w:r>
        <w:t xml:space="preserve"> </w:t>
      </w:r>
      <w:r>
        <w:t xml:space="preserve">European</w:t>
      </w:r>
      <w:r>
        <w:t xml:space="preserve"> </w:t>
      </w:r>
      <w:r>
        <w:t xml:space="preserve">science and society.</w:t>
      </w:r>
      <w:r>
        <w:t xml:space="preserve"> </w:t>
      </w:r>
      <w:r>
        <w:rPr>
          <w:iCs/>
          <w:i/>
        </w:rPr>
        <w:t xml:space="preserve">The Lancet Neurology</w:t>
      </w:r>
      <w:r>
        <w:t xml:space="preserve"> </w:t>
      </w:r>
      <w:r>
        <w:rPr>
          <w:bCs/>
          <w:b/>
        </w:rPr>
        <w:t xml:space="preserve">15</w:t>
      </w:r>
      <w:r>
        <w:t xml:space="preserve">, 455–532 (2016).</w:t>
      </w:r>
    </w:p>
    <w:bookmarkEnd w:id="242"/>
    <w:bookmarkStart w:id="243" w:name="ref-feingold2000"/>
    <w:p>
      <w:pPr>
        <w:pStyle w:val="Bibliography"/>
      </w:pPr>
      <w:r>
        <w:t xml:space="preserve">23.</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243"/>
    <w:bookmarkStart w:id="244" w:name="ref-peters2019"/>
    <w:p>
      <w:pPr>
        <w:pStyle w:val="Bibliography"/>
      </w:pPr>
      <w:r>
        <w:t xml:space="preserve">24.</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244"/>
    <w:bookmarkStart w:id="245" w:name="ref-ansteya"/>
    <w:p>
      <w:pPr>
        <w:pStyle w:val="Bibliography"/>
      </w:pPr>
      <w:r>
        <w:t xml:space="preserve">25.</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w:t>
      </w:r>
    </w:p>
    <w:bookmarkEnd w:id="245"/>
    <w:bookmarkStart w:id="246" w:name="ref-hughes2020association"/>
    <w:p>
      <w:pPr>
        <w:pStyle w:val="Bibliography"/>
      </w:pPr>
      <w:r>
        <w:t xml:space="preserve">26.</w:t>
      </w:r>
      <w:r>
        <w:t xml:space="preserve"> </w:t>
      </w:r>
      <w:r>
        <w:t xml:space="preserve">	</w:t>
      </w:r>
      <w:r>
        <w:t xml:space="preserve">Hughes, D.</w:t>
      </w:r>
      <w:r>
        <w:t xml:space="preserve"> </w:t>
      </w:r>
      <w:r>
        <w:rPr>
          <w:iCs/>
          <w:i/>
        </w:rPr>
        <w:t xml:space="preserve">et al.</w:t>
      </w:r>
      <w:r>
        <w:t xml:space="preserve"> Association of blood pressure lowering with incident dementia or cognitive impairment: A systematic review and meta-analysis.</w:t>
      </w:r>
      <w:r>
        <w:t xml:space="preserve"> </w:t>
      </w:r>
      <w:r>
        <w:rPr>
          <w:iCs/>
          <w:i/>
        </w:rPr>
        <w:t xml:space="preserve">Jama</w:t>
      </w:r>
      <w:r>
        <w:t xml:space="preserve"> </w:t>
      </w:r>
      <w:r>
        <w:rPr>
          <w:bCs/>
          <w:b/>
        </w:rPr>
        <w:t xml:space="preserve">323</w:t>
      </w:r>
      <w:r>
        <w:t xml:space="preserve">, 1934–1944 (2020).</w:t>
      </w:r>
    </w:p>
    <w:bookmarkEnd w:id="246"/>
    <w:bookmarkStart w:id="247" w:name="ref-norton2014potential"/>
    <w:p>
      <w:pPr>
        <w:pStyle w:val="Bibliography"/>
      </w:pPr>
      <w:r>
        <w:t xml:space="preserve">27.</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247"/>
    <w:bookmarkStart w:id="248" w:name="ref-pushpakom2019a"/>
    <w:p>
      <w:pPr>
        <w:pStyle w:val="Bibliography"/>
      </w:pPr>
      <w:r>
        <w:t xml:space="preserve">28.</w:t>
      </w:r>
      <w:r>
        <w:t xml:space="preserve"> </w:t>
      </w:r>
      <w:r>
        <w:t xml:space="preserve">	</w:t>
      </w:r>
      <w:r>
        <w:t xml:space="preserve">Pushpakom, S.</w:t>
      </w:r>
      <w:r>
        <w:t xml:space="preserve"> </w:t>
      </w:r>
      <w:r>
        <w:rPr>
          <w:iCs/>
          <w:i/>
        </w:rPr>
        <w:t xml:space="preserve">et al.</w:t>
      </w:r>
      <w:r>
        <w:t xml:space="preserve"> Drug repurposing: Progress, challenges and recommendations.</w:t>
      </w:r>
      <w:r>
        <w:t xml:space="preserve"> </w:t>
      </w:r>
      <w:r>
        <w:rPr>
          <w:iCs/>
          <w:i/>
        </w:rPr>
        <w:t xml:space="preserve">Nature Reviews Drug Discovery</w:t>
      </w:r>
      <w:r>
        <w:t xml:space="preserve"> </w:t>
      </w:r>
      <w:r>
        <w:rPr>
          <w:bCs/>
          <w:b/>
        </w:rPr>
        <w:t xml:space="preserve">18</w:t>
      </w:r>
      <w:r>
        <w:t xml:space="preserve">, 41–58 (2019).</w:t>
      </w:r>
    </w:p>
    <w:bookmarkEnd w:id="248"/>
    <w:bookmarkStart w:id="249" w:name="ref-laufs2020"/>
    <w:p>
      <w:pPr>
        <w:pStyle w:val="Bibliography"/>
      </w:pPr>
      <w:r>
        <w:t xml:space="preserve">29.</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249"/>
    <w:bookmarkStart w:id="250" w:name="ref-zampelas2019"/>
    <w:p>
      <w:pPr>
        <w:pStyle w:val="Bibliography"/>
      </w:pPr>
      <w:r>
        <w:t xml:space="preserve">30.</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w:t>
      </w:r>
      <w:r>
        <w:t xml:space="preserve"> </w:t>
      </w:r>
      <w:r>
        <w:t xml:space="preserve">A 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250"/>
    <w:bookmarkStart w:id="251" w:name="ref-friedewald1972"/>
    <w:p>
      <w:pPr>
        <w:pStyle w:val="Bibliography"/>
      </w:pPr>
      <w:r>
        <w:t xml:space="preserve">31.</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251"/>
    <w:bookmarkStart w:id="252" w:name="ref-national2002third"/>
    <w:p>
      <w:pPr>
        <w:pStyle w:val="Bibliography"/>
      </w:pPr>
      <w:r>
        <w:t xml:space="preserve">32.</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252"/>
    <w:bookmarkStart w:id="253" w:name="ref-nelson2013"/>
    <w:p>
      <w:pPr>
        <w:pStyle w:val="Bibliography"/>
      </w:pPr>
      <w:r>
        <w:t xml:space="preserve">33.</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253"/>
    <w:bookmarkStart w:id="254" w:name="ref-libby2019"/>
    <w:p>
      <w:pPr>
        <w:pStyle w:val="Bibliography"/>
      </w:pPr>
      <w:r>
        <w:t xml:space="preserve">34.</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254"/>
    <w:bookmarkStart w:id="255" w:name="ref-collins2016"/>
    <w:p>
      <w:pPr>
        <w:pStyle w:val="Bibliography"/>
      </w:pPr>
      <w:r>
        <w:t xml:space="preserve">35.</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55"/>
    <w:bookmarkStart w:id="256" w:name="ref-collins2016a"/>
    <w:p>
      <w:pPr>
        <w:pStyle w:val="Bibliography"/>
      </w:pPr>
      <w:r>
        <w:t xml:space="preserve">36.</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56"/>
    <w:bookmarkStart w:id="257" w:name="ref-law2003"/>
    <w:p>
      <w:pPr>
        <w:pStyle w:val="Bibliography"/>
      </w:pPr>
      <w:r>
        <w:t xml:space="preserve">37.</w:t>
      </w:r>
      <w:r>
        <w:t xml:space="preserve"> </w:t>
      </w:r>
      <w:r>
        <w:t xml:space="preserve">	</w:t>
      </w:r>
      <w:r>
        <w:t xml:space="preserve">Law, M. R., Wald, N. J. &amp; Rudnicka, A. R. Quantifying effect of statins on low density lipoprotein cholesterol, ischaemic heart disease, and stroke: Systematic review and meta-analysis.</w:t>
      </w:r>
      <w:r>
        <w:t xml:space="preserve"> </w:t>
      </w:r>
      <w:r>
        <w:rPr>
          <w:iCs/>
          <w:i/>
        </w:rPr>
        <w:t xml:space="preserve">BMJ</w:t>
      </w:r>
      <w:r>
        <w:t xml:space="preserve"> </w:t>
      </w:r>
      <w:r>
        <w:rPr>
          <w:bCs/>
          <w:b/>
        </w:rPr>
        <w:t xml:space="preserve">326</w:t>
      </w:r>
      <w:r>
        <w:t xml:space="preserve">, 1423 (2003).</w:t>
      </w:r>
    </w:p>
    <w:bookmarkEnd w:id="257"/>
    <w:bookmarkStart w:id="258" w:name="ref-schachter2005"/>
    <w:p>
      <w:pPr>
        <w:pStyle w:val="Bibliography"/>
      </w:pPr>
      <w:r>
        <w:t xml:space="preserve">38.</w:t>
      </w:r>
      <w:r>
        <w:t xml:space="preserve"> </w:t>
      </w:r>
      <w:r>
        <w:t xml:space="preserve">	</w:t>
      </w:r>
      <w:r>
        <w:t xml:space="preserve">Schachter, M. Chemical, pharmacokinetic and pharmacodynamic properties of statins: An update.</w:t>
      </w:r>
      <w:r>
        <w:t xml:space="preserve"> </w:t>
      </w:r>
      <w:r>
        <w:rPr>
          <w:iCs/>
          <w:i/>
        </w:rPr>
        <w:t xml:space="preserve">Fundamental &amp; Clinical Pharmacology</w:t>
      </w:r>
      <w:r>
        <w:t xml:space="preserve"> </w:t>
      </w:r>
      <w:r>
        <w:rPr>
          <w:bCs/>
          <w:b/>
        </w:rPr>
        <w:t xml:space="preserve">19</w:t>
      </w:r>
      <w:r>
        <w:t xml:space="preserve">, 117–125 (2005).</w:t>
      </w:r>
    </w:p>
    <w:bookmarkEnd w:id="258"/>
    <w:bookmarkStart w:id="259" w:name="ref-sierra2011"/>
    <w:p>
      <w:pPr>
        <w:pStyle w:val="Bibliography"/>
      </w:pPr>
      <w:r>
        <w:t xml:space="preserve">39.</w:t>
      </w:r>
      <w:r>
        <w:t xml:space="preserve"> </w:t>
      </w:r>
      <w:r>
        <w:t xml:space="preserve">	</w:t>
      </w:r>
      <w:r>
        <w:t xml:space="preserve">Sierra, S.</w:t>
      </w:r>
      <w:r>
        <w:t xml:space="preserve"> </w:t>
      </w:r>
      <w:r>
        <w:rPr>
          <w:iCs/>
          <w:i/>
        </w:rPr>
        <w:t xml:space="preserve">et al.</w:t>
      </w:r>
      <w:r>
        <w:t xml:space="preserve"> Statins as neuroprotectants: A comparative in vitro study of lipophilicity, blood-brain-barrier penetration, lowering of brain cholesterol, and decrease of neuron cell death.</w:t>
      </w:r>
      <w:r>
        <w:t xml:space="preserve"> </w:t>
      </w:r>
      <w:r>
        <w:rPr>
          <w:iCs/>
          <w:i/>
        </w:rPr>
        <w:t xml:space="preserve">Journal of Alzheimer’s disease: JAD</w:t>
      </w:r>
      <w:r>
        <w:t xml:space="preserve"> </w:t>
      </w:r>
      <w:r>
        <w:rPr>
          <w:bCs/>
          <w:b/>
        </w:rPr>
        <w:t xml:space="preserve">23</w:t>
      </w:r>
      <w:r>
        <w:t xml:space="preserve">, 307–318 (2011).</w:t>
      </w:r>
    </w:p>
    <w:bookmarkEnd w:id="259"/>
    <w:bookmarkStart w:id="260" w:name="ref-kosoglou2005"/>
    <w:p>
      <w:pPr>
        <w:pStyle w:val="Bibliography"/>
      </w:pPr>
      <w:r>
        <w:t xml:space="preserve">40.</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260"/>
    <w:bookmarkStart w:id="261" w:name="ref-genest2006"/>
    <w:p>
      <w:pPr>
        <w:pStyle w:val="Bibliography"/>
      </w:pPr>
      <w:r>
        <w:t xml:space="preserve">41.</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261"/>
    <w:bookmarkStart w:id="262" w:name="ref-chaudhary2017"/>
    <w:p>
      <w:pPr>
        <w:pStyle w:val="Bibliography"/>
      </w:pPr>
      <w:r>
        <w:t xml:space="preserve">42.</w:t>
      </w:r>
      <w:r>
        <w:t xml:space="preserve"> </w:t>
      </w:r>
      <w:r>
        <w:t xml:space="preserve">	</w:t>
      </w:r>
      <w:r>
        <w:t xml:space="preserve">Chaudhary, R., Garg, J., Shah, N. &amp; Sumner, A.</w:t>
      </w:r>
      <w:r>
        <w:t xml:space="preserve"> </w:t>
      </w:r>
      <w:r>
        <w:t xml:space="preserve">PCSK9</w:t>
      </w:r>
      <w:r>
        <w:t xml:space="preserve"> </w:t>
      </w:r>
      <w:r>
        <w:t xml:space="preserve">inhibitors:</w:t>
      </w:r>
      <w:r>
        <w:t xml:space="preserve"> </w:t>
      </w:r>
      <w:r>
        <w:t xml:space="preserve">A</w:t>
      </w:r>
      <w:r>
        <w:t xml:space="preserve"> </w:t>
      </w:r>
      <w:r>
        <w:t xml:space="preserve">new era of lipid lowering therapy.</w:t>
      </w:r>
      <w:r>
        <w:t xml:space="preserve"> </w:t>
      </w:r>
      <w:r>
        <w:rPr>
          <w:iCs/>
          <w:i/>
        </w:rPr>
        <w:t xml:space="preserve">World Journal of Cardiology</w:t>
      </w:r>
      <w:r>
        <w:t xml:space="preserve"> </w:t>
      </w:r>
      <w:r>
        <w:rPr>
          <w:bCs/>
          <w:b/>
        </w:rPr>
        <w:t xml:space="preserve">9</w:t>
      </w:r>
      <w:r>
        <w:t xml:space="preserve">, 76–91 (2017).</w:t>
      </w:r>
    </w:p>
    <w:bookmarkEnd w:id="262"/>
    <w:bookmarkStart w:id="263" w:name="ref-mckenney2004new"/>
    <w:p>
      <w:pPr>
        <w:pStyle w:val="Bibliography"/>
      </w:pPr>
      <w:r>
        <w:t xml:space="preserve">43.</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263"/>
    <w:bookmarkStart w:id="264" w:name="ref-skulas-rayannc.2019"/>
    <w:p>
      <w:pPr>
        <w:pStyle w:val="Bibliography"/>
      </w:pPr>
      <w:r>
        <w:t xml:space="preserve">44.</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w:t>
      </w:r>
      <w:r>
        <w:t xml:space="preserve"> </w:t>
      </w:r>
      <w:r>
        <w:t xml:space="preserve">A 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264"/>
    <w:bookmarkStart w:id="265" w:name="ref-burns2003"/>
    <w:p>
      <w:pPr>
        <w:pStyle w:val="Bibliography"/>
      </w:pPr>
      <w:r>
        <w:t xml:space="preserve">45.</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265"/>
    <w:bookmarkStart w:id="266" w:name="ref-mizuno1999"/>
    <w:p>
      <w:pPr>
        <w:pStyle w:val="Bibliography"/>
      </w:pPr>
      <w:r>
        <w:t xml:space="preserve">46.</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266"/>
    <w:bookmarkStart w:id="267" w:name="ref-beecham2014"/>
    <w:p>
      <w:pPr>
        <w:pStyle w:val="Bibliography"/>
      </w:pPr>
      <w:r>
        <w:t xml:space="preserve">47.</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267"/>
    <w:bookmarkStart w:id="268" w:name="ref-harold2009"/>
    <w:p>
      <w:pPr>
        <w:pStyle w:val="Bibliography"/>
      </w:pPr>
      <w:r>
        <w:t xml:space="preserve">48.</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268"/>
    <w:bookmarkStart w:id="269" w:name="ref-meng2007"/>
    <w:p>
      <w:pPr>
        <w:pStyle w:val="Bibliography"/>
      </w:pPr>
      <w:r>
        <w:t xml:space="preserve">49.</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269"/>
    <w:bookmarkStart w:id="270" w:name="ref-kivipelto2002"/>
    <w:p>
      <w:pPr>
        <w:pStyle w:val="Bibliography"/>
      </w:pPr>
      <w:r>
        <w:t xml:space="preserve">50.</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270"/>
    <w:bookmarkStart w:id="271" w:name="ref-kivipelto2005"/>
    <w:p>
      <w:pPr>
        <w:pStyle w:val="Bibliography"/>
      </w:pPr>
      <w:r>
        <w:t xml:space="preserve">51.</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271"/>
    <w:bookmarkStart w:id="272" w:name="ref-schilling2017"/>
    <w:p>
      <w:pPr>
        <w:pStyle w:val="Bibliography"/>
      </w:pPr>
      <w:r>
        <w:t xml:space="preserve">52.</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w:t>
      </w:r>
      <w:r>
        <w:t xml:space="preserve"> </w:t>
      </w:r>
      <w:r>
        <w:t xml:space="preserve">A</w:t>
      </w:r>
      <w:r>
        <w:t xml:space="preserve"> </w:t>
      </w:r>
      <w:r>
        <w:t xml:space="preserve">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272"/>
    <w:bookmarkStart w:id="273" w:name="ref-solomon2009"/>
    <w:p>
      <w:pPr>
        <w:pStyle w:val="Bibliography"/>
      </w:pPr>
      <w:r>
        <w:t xml:space="preserve">53.</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273"/>
    <w:bookmarkStart w:id="274" w:name="ref-whitmer2005"/>
    <w:p>
      <w:pPr>
        <w:pStyle w:val="Bibliography"/>
      </w:pPr>
      <w:r>
        <w:t xml:space="preserve">54.</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274"/>
    <w:bookmarkStart w:id="275" w:name="ref-li2005a"/>
    <w:p>
      <w:pPr>
        <w:pStyle w:val="Bibliography"/>
      </w:pPr>
      <w:r>
        <w:t xml:space="preserve">55.</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275"/>
    <w:bookmarkStart w:id="276" w:name="ref-mainous2005"/>
    <w:p>
      <w:pPr>
        <w:pStyle w:val="Bibliography"/>
      </w:pPr>
      <w:r>
        <w:t xml:space="preserve">56.</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276"/>
    <w:bookmarkStart w:id="277" w:name="ref-mielke2010"/>
    <w:p>
      <w:pPr>
        <w:pStyle w:val="Bibliography"/>
      </w:pPr>
      <w:r>
        <w:t xml:space="preserve">57.</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277"/>
    <w:bookmarkStart w:id="278" w:name="ref-tan2003a"/>
    <w:p>
      <w:pPr>
        <w:pStyle w:val="Bibliography"/>
      </w:pPr>
      <w:r>
        <w:t xml:space="preserve">58.</w:t>
      </w:r>
      <w:r>
        <w:t xml:space="preserve"> </w:t>
      </w:r>
      <w:r>
        <w:t xml:space="preserve">	</w:t>
      </w:r>
      <w:r>
        <w:t xml:space="preserve">Tan, Z. S.</w:t>
      </w:r>
      <w:r>
        <w:t xml:space="preserve"> </w:t>
      </w:r>
      <w:r>
        <w:rPr>
          <w:iCs/>
          <w:i/>
        </w:rPr>
        <w:t xml:space="preserve">et al.</w:t>
      </w:r>
      <w:r>
        <w:t xml:space="preserve"> Plasma</w:t>
      </w:r>
      <w:r>
        <w:t xml:space="preserve"> </w:t>
      </w:r>
      <w:r>
        <w:t xml:space="preserve">Total Cholesterol Level</w:t>
      </w:r>
      <w:r>
        <w:t xml:space="preserve"> </w:t>
      </w:r>
      <w:r>
        <w:t xml:space="preserve">as a</w:t>
      </w:r>
      <w:r>
        <w:t xml:space="preserve"> </w:t>
      </w:r>
      <w:r>
        <w:t xml:space="preserve">Risk Factor</w:t>
      </w:r>
      <w:r>
        <w:t xml:space="preserve"> </w:t>
      </w:r>
      <w:r>
        <w:t xml:space="preserve">for</w:t>
      </w:r>
      <w:r>
        <w:t xml:space="preserve"> </w:t>
      </w:r>
      <w:r>
        <w:t xml:space="preserve">Alzheimer Disease</w:t>
      </w:r>
      <w:r>
        <w:t xml:space="preserve">:</w:t>
      </w:r>
      <w:r>
        <w:t xml:space="preserve"> </w:t>
      </w:r>
      <w:r>
        <w:t xml:space="preserve">The Framingham Study</w:t>
      </w:r>
      <w:r>
        <w:t xml:space="preserve">.</w:t>
      </w:r>
      <w:r>
        <w:t xml:space="preserve"> </w:t>
      </w:r>
      <w:r>
        <w:rPr>
          <w:iCs/>
          <w:i/>
        </w:rPr>
        <w:t xml:space="preserve">Archives of Internal Medicine</w:t>
      </w:r>
      <w:r>
        <w:t xml:space="preserve"> </w:t>
      </w:r>
      <w:r>
        <w:rPr>
          <w:bCs/>
          <w:b/>
        </w:rPr>
        <w:t xml:space="preserve">163</w:t>
      </w:r>
      <w:r>
        <w:t xml:space="preserve">, 1053 (2003).</w:t>
      </w:r>
    </w:p>
    <w:bookmarkEnd w:id="278"/>
    <w:bookmarkStart w:id="279" w:name="ref-mielke2005"/>
    <w:p>
      <w:pPr>
        <w:pStyle w:val="Bibliography"/>
      </w:pPr>
      <w:r>
        <w:t xml:space="preserve">59.</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279"/>
    <w:bookmarkStart w:id="280" w:name="ref-reitz2004a"/>
    <w:p>
      <w:pPr>
        <w:pStyle w:val="Bibliography"/>
      </w:pPr>
      <w:r>
        <w:t xml:space="preserve">60.</w:t>
      </w:r>
      <w:r>
        <w:t xml:space="preserve"> </w:t>
      </w:r>
      <w:r>
        <w:t xml:space="preserve">	</w:t>
      </w:r>
      <w:r>
        <w:t xml:space="preserve">Reitz, C., Tang, M.-X.,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280"/>
    <w:bookmarkStart w:id="281" w:name="ref-moroney1999"/>
    <w:p>
      <w:pPr>
        <w:pStyle w:val="Bibliography"/>
      </w:pPr>
      <w:r>
        <w:t xml:space="preserve">61.</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281"/>
    <w:bookmarkStart w:id="282" w:name="ref-anstey"/>
    <w:p>
      <w:pPr>
        <w:pStyle w:val="Bibliography"/>
      </w:pPr>
      <w:r>
        <w:t xml:space="preserve">62.</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w:t>
      </w:r>
      <w:r>
        <w:t xml:space="preserve"> </w:t>
      </w:r>
      <w:r>
        <w:t xml:space="preserve">Review</w:t>
      </w:r>
      <w:r>
        <w:t xml:space="preserve"> </w:t>
      </w:r>
      <w:r>
        <w:t xml:space="preserve">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w:t>
      </w:r>
    </w:p>
    <w:bookmarkEnd w:id="282"/>
    <w:bookmarkStart w:id="283" w:name="ref-chu2018b"/>
    <w:p>
      <w:pPr>
        <w:pStyle w:val="Bibliography"/>
      </w:pPr>
      <w:r>
        <w:t xml:space="preserve">63.</w:t>
      </w:r>
      <w:r>
        <w:t xml:space="preserve"> </w:t>
      </w:r>
      <w:r>
        <w:t xml:space="preserve">	</w:t>
      </w:r>
      <w:r>
        <w:t xml:space="preserve">Chu, C.-S.</w:t>
      </w:r>
      <w:r>
        <w:t xml:space="preserve"> </w:t>
      </w:r>
      <w:r>
        <w:rPr>
          <w:iCs/>
          <w:i/>
        </w:rPr>
        <w:t xml:space="preserve">et al.</w:t>
      </w:r>
      <w:r>
        <w:t xml:space="preserve"> Use of statins and the risk of dementia and mild cognitive impairment:</w:t>
      </w:r>
      <w:r>
        <w:t xml:space="preserve"> </w:t>
      </w:r>
      <w:r>
        <w:t xml:space="preserve">A</w:t>
      </w:r>
      <w:r>
        <w:t xml:space="preserve"> </w:t>
      </w:r>
      <w:r>
        <w:t xml:space="preserve">systematic review and meta-analysis.</w:t>
      </w:r>
      <w:r>
        <w:t xml:space="preserve"> </w:t>
      </w:r>
      <w:r>
        <w:rPr>
          <w:iCs/>
          <w:i/>
        </w:rPr>
        <w:t xml:space="preserve">Scientific Reports</w:t>
      </w:r>
      <w:r>
        <w:t xml:space="preserve"> </w:t>
      </w:r>
      <w:r>
        <w:rPr>
          <w:bCs/>
          <w:b/>
        </w:rPr>
        <w:t xml:space="preserve">8</w:t>
      </w:r>
      <w:r>
        <w:t xml:space="preserve">, 5804 (2018).</w:t>
      </w:r>
    </w:p>
    <w:bookmarkEnd w:id="283"/>
    <w:bookmarkStart w:id="284" w:name="ref-poly2020c"/>
    <w:p>
      <w:pPr>
        <w:pStyle w:val="Bibliography"/>
      </w:pPr>
      <w:r>
        <w:t xml:space="preserve">64.</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284"/>
    <w:bookmarkStart w:id="285" w:name="ref-ritchie2015"/>
    <w:p>
      <w:pPr>
        <w:pStyle w:val="Bibliography"/>
      </w:pPr>
      <w:r>
        <w:t xml:space="preserve">65.</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285"/>
    <w:bookmarkStart w:id="287" w:name="ref-mcguinness2016a"/>
    <w:p>
      <w:pPr>
        <w:pStyle w:val="Bibliography"/>
      </w:pPr>
      <w:r>
        <w:t xml:space="preserve">66.</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6">
        <w:r>
          <w:rPr>
            <w:rStyle w:val="Hyperlink"/>
          </w:rPr>
          <w:t xml:space="preserve">10.1002/14651858.CD003160.pub3</w:t>
        </w:r>
      </w:hyperlink>
    </w:p>
    <w:bookmarkEnd w:id="287"/>
    <w:bookmarkStart w:id="288" w:name="ref-trompet2010"/>
    <w:p>
      <w:pPr>
        <w:pStyle w:val="Bibliography"/>
      </w:pPr>
      <w:r>
        <w:t xml:space="preserve">67.</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288"/>
    <w:bookmarkStart w:id="289" w:name="ref-2002"/>
    <w:p>
      <w:pPr>
        <w:pStyle w:val="Bibliography"/>
      </w:pPr>
      <w:r>
        <w:t xml:space="preserve">68.</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289"/>
    <w:bookmarkStart w:id="290" w:name="ref-mcguinness2016b"/>
    <w:p>
      <w:pPr>
        <w:pStyle w:val="Bibliography"/>
      </w:pPr>
      <w:r>
        <w:t xml:space="preserve">69.</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6">
        <w:r>
          <w:rPr>
            <w:rStyle w:val="Hyperlink"/>
          </w:rPr>
          <w:t xml:space="preserve">10.1002/14651858.CD003160.pub3</w:t>
        </w:r>
      </w:hyperlink>
    </w:p>
    <w:bookmarkEnd w:id="290"/>
    <w:bookmarkStart w:id="291" w:name="ref-daveysmith2014"/>
    <w:p>
      <w:pPr>
        <w:pStyle w:val="Bibliography"/>
      </w:pPr>
      <w:r>
        <w:t xml:space="preserve">70.</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291"/>
    <w:bookmarkStart w:id="292" w:name="ref-greenland2000"/>
    <w:p>
      <w:pPr>
        <w:pStyle w:val="Bibliography"/>
      </w:pPr>
      <w:r>
        <w:t xml:space="preserve">71.</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292"/>
    <w:bookmarkStart w:id="293" w:name="ref-davies2018"/>
    <w:p>
      <w:pPr>
        <w:pStyle w:val="Bibliography"/>
      </w:pPr>
      <w:r>
        <w:t xml:space="preserve">72.</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293"/>
    <w:bookmarkStart w:id="294" w:name="ref-larsson2017c"/>
    <w:p>
      <w:pPr>
        <w:pStyle w:val="Bibliography"/>
      </w:pPr>
      <w:r>
        <w:t xml:space="preserve">73.</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294"/>
    <w:bookmarkStart w:id="295" w:name="ref-ostergaard2015"/>
    <w:p>
      <w:pPr>
        <w:pStyle w:val="Bibliography"/>
      </w:pPr>
      <w:r>
        <w:t xml:space="preserve">74.</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w:t>
      </w:r>
      <w:r>
        <w:t xml:space="preserve"> </w:t>
      </w:r>
      <w:r>
        <w:t xml:space="preserve">A 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295"/>
    <w:bookmarkStart w:id="296" w:name="ref-kim2009"/>
    <w:p>
      <w:pPr>
        <w:pStyle w:val="Bibliography"/>
      </w:pPr>
      <w:r>
        <w:t xml:space="preserve">75.</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296"/>
    <w:bookmarkStart w:id="297" w:name="ref-benn2017"/>
    <w:p>
      <w:pPr>
        <w:pStyle w:val="Bibliography"/>
      </w:pPr>
      <w:r>
        <w:t xml:space="preserve">76.</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w:t>
      </w:r>
      <w:r>
        <w:t xml:space="preserve"> </w:t>
      </w:r>
      <w:r>
        <w:t xml:space="preserve">Mendelian</w:t>
      </w:r>
      <w:r>
        <w:t xml:space="preserve"> </w:t>
      </w:r>
      <w:r>
        <w:t xml:space="preserve">randomisation study.</w:t>
      </w:r>
      <w:r>
        <w:t xml:space="preserve"> </w:t>
      </w:r>
      <w:r>
        <w:rPr>
          <w:iCs/>
          <w:i/>
        </w:rPr>
        <w:t xml:space="preserve">BMJ</w:t>
      </w:r>
      <w:r>
        <w:t xml:space="preserve"> </w:t>
      </w:r>
      <w:r>
        <w:rPr>
          <w:bCs/>
          <w:b/>
        </w:rPr>
        <w:t xml:space="preserve">357</w:t>
      </w:r>
      <w:r>
        <w:t xml:space="preserve">, j1648 (2017).</w:t>
      </w:r>
    </w:p>
    <w:bookmarkEnd w:id="297"/>
    <w:bookmarkStart w:id="298" w:name="ref-donnelly2018a"/>
    <w:p>
      <w:pPr>
        <w:pStyle w:val="Bibliography"/>
      </w:pPr>
      <w:r>
        <w:t xml:space="preserve">77.</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298"/>
    <w:bookmarkStart w:id="299" w:name="ref-chandler2019chapter"/>
    <w:p>
      <w:pPr>
        <w:pStyle w:val="Bibliography"/>
      </w:pPr>
      <w:r>
        <w:t xml:space="preserve">78.</w:t>
      </w:r>
      <w:r>
        <w:t xml:space="preserve"> </w:t>
      </w:r>
      <w:r>
        <w:t xml:space="preserve">	</w:t>
      </w:r>
      <w:r>
        <w:t xml:space="preserve">Chandler, J., Higgins, J., Deeks, J., Davenport, C. &amp; Clarke, M. J. Chapter 1:</w:t>
      </w:r>
      <w:r>
        <w:t xml:space="preserve"> </w:t>
      </w:r>
      <w:r>
        <w:t xml:space="preserve">Introduction</w:t>
      </w:r>
      <w:r>
        <w:t xml:space="preserv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299"/>
    <w:bookmarkStart w:id="300" w:name="ref-conn2003"/>
    <w:p>
      <w:pPr>
        <w:pStyle w:val="Bibliography"/>
      </w:pPr>
      <w:r>
        <w:t xml:space="preserve">79.</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300"/>
    <w:bookmarkStart w:id="301" w:name="ref-mcauley2000"/>
    <w:p>
      <w:pPr>
        <w:pStyle w:val="Bibliography"/>
      </w:pPr>
      <w:r>
        <w:t xml:space="preserve">80.</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301"/>
    <w:bookmarkStart w:id="303" w:name="ref-hopewell2007"/>
    <w:p>
      <w:pPr>
        <w:pStyle w:val="Bibliography"/>
      </w:pPr>
      <w:r>
        <w:t xml:space="preserve">81.</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302">
        <w:r>
          <w:rPr>
            <w:rStyle w:val="Hyperlink"/>
          </w:rPr>
          <w:t xml:space="preserve">10.1002/14651858.MR000010.pub3</w:t>
        </w:r>
      </w:hyperlink>
    </w:p>
    <w:bookmarkEnd w:id="303"/>
    <w:bookmarkStart w:id="304" w:name="ref-lefebvre2019searching"/>
    <w:p>
      <w:pPr>
        <w:pStyle w:val="Bibliography"/>
      </w:pPr>
      <w:r>
        <w:t xml:space="preserve">82.</w:t>
      </w:r>
      <w:r>
        <w:t xml:space="preserve"> </w:t>
      </w:r>
      <w:r>
        <w:t xml:space="preserve">	</w:t>
      </w:r>
      <w:r>
        <w:t xml:space="preserve">Lefebvre, C.</w:t>
      </w:r>
      <w:r>
        <w:t xml:space="preserve"> </w:t>
      </w:r>
      <w:r>
        <w:rPr>
          <w:iCs/>
          <w:i/>
        </w:rPr>
        <w:t xml:space="preserve">et al.</w:t>
      </w:r>
      <w:r>
        <w:t xml:space="preserve"> Section 4.4.4 -</w:t>
      </w:r>
      <w:r>
        <w:t xml:space="preserve">Searching</w:t>
      </w:r>
      <w:r>
        <w:t xml:space="preserve"> </w:t>
      </w:r>
      <w:r>
        <w:t xml:space="preserve">for and selecting studies:</w:t>
      </w:r>
      <w:r>
        <w:t xml:space="preserve"> </w:t>
      </w:r>
      <w:r>
        <w:t xml:space="preserve">Controlled</w:t>
      </w:r>
      <w:r>
        <w:t xml:space="preserve"> </w:t>
      </w:r>
      <w:r>
        <w:t xml:space="preserve">vocabulary and text words.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et al.) (</w:t>
      </w:r>
      <w:r>
        <w:t xml:space="preserve">Cochrane</w:t>
      </w:r>
      <w:r>
        <w:t xml:space="preserve">, 2021).</w:t>
      </w:r>
    </w:p>
    <w:bookmarkEnd w:id="304"/>
    <w:bookmarkStart w:id="305" w:name="ref-committeeonpublicationethicscope2018"/>
    <w:p>
      <w:pPr>
        <w:pStyle w:val="Bibliography"/>
      </w:pPr>
      <w:r>
        <w:t xml:space="preserve">83.</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w:t>
      </w:r>
      <w:r>
        <w:rPr>
          <w:iCs/>
          <w:i/>
        </w:rPr>
        <w:t xml:space="preserve"> </w:t>
      </w:r>
      <w:r>
        <w:rPr>
          <w:iCs/>
          <w:i/>
        </w:rPr>
        <w:t xml:space="preserve">Preprints</w:t>
      </w:r>
      <w:r>
        <w:t xml:space="preserve">. (2018).</w:t>
      </w:r>
    </w:p>
    <w:bookmarkEnd w:id="305"/>
    <w:bookmarkStart w:id="306" w:name="ref-vale2016"/>
    <w:p>
      <w:pPr>
        <w:pStyle w:val="Bibliography"/>
      </w:pPr>
      <w:r>
        <w:t xml:space="preserve">84.</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306"/>
    <w:bookmarkStart w:id="308" w:name="ref-fraser2020a"/>
    <w:p>
      <w:pPr>
        <w:pStyle w:val="Bibliography"/>
      </w:pPr>
      <w:r>
        <w:t xml:space="preserve">85.</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307">
        <w:r>
          <w:rPr>
            <w:rStyle w:val="Hyperlink"/>
          </w:rPr>
          <w:t xml:space="preserve">10.1101/2020.05.22.111294</w:t>
        </w:r>
      </w:hyperlink>
    </w:p>
    <w:bookmarkEnd w:id="308"/>
    <w:bookmarkStart w:id="309" w:name="ref-rosenthal1979"/>
    <w:p>
      <w:pPr>
        <w:pStyle w:val="Bibliography"/>
      </w:pPr>
      <w:r>
        <w:t xml:space="preserve">86.</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309"/>
    <w:bookmarkStart w:id="310" w:name="ref-maslove2018"/>
    <w:p>
      <w:pPr>
        <w:pStyle w:val="Bibliography"/>
      </w:pPr>
      <w:r>
        <w:t xml:space="preserve">87.</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310"/>
    <w:bookmarkStart w:id="311" w:name="ref-schalkwyk2020"/>
    <w:p>
      <w:pPr>
        <w:pStyle w:val="Bibliography"/>
      </w:pPr>
      <w:r>
        <w:t xml:space="preserve">88.</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311"/>
    <w:bookmarkStart w:id="312" w:name="ref-mahood2014"/>
    <w:p>
      <w:pPr>
        <w:pStyle w:val="Bibliography"/>
      </w:pPr>
      <w:r>
        <w:t xml:space="preserve">89.</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312"/>
    <w:bookmarkStart w:id="313" w:name="ref-shi2021a"/>
    <w:p>
      <w:pPr>
        <w:pStyle w:val="Bibliography"/>
      </w:pPr>
      <w:r>
        <w:t xml:space="preserve">90.</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13"/>
    <w:bookmarkStart w:id="314" w:name="ref-klein2019"/>
    <w:p>
      <w:pPr>
        <w:pStyle w:val="Bibliography"/>
      </w:pPr>
      <w:r>
        <w:t xml:space="preserve">91.</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314"/>
    <w:bookmarkStart w:id="316" w:name="ref-nicholson2021"/>
    <w:p>
      <w:pPr>
        <w:pStyle w:val="Bibliography"/>
      </w:pPr>
      <w:r>
        <w:t xml:space="preserve">92.</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315">
        <w:r>
          <w:rPr>
            <w:rStyle w:val="Hyperlink"/>
          </w:rPr>
          <w:t xml:space="preserve">10.1101/2021.03.04.433874</w:t>
        </w:r>
      </w:hyperlink>
    </w:p>
    <w:bookmarkEnd w:id="316"/>
    <w:bookmarkStart w:id="317" w:name="ref-lawlor2016a"/>
    <w:p>
      <w:pPr>
        <w:pStyle w:val="Bibliography"/>
      </w:pPr>
      <w:r>
        <w:t xml:space="preserve">93.</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317"/>
    <w:bookmarkStart w:id="318" w:name="ref-munafo2018"/>
    <w:p>
      <w:pPr>
        <w:pStyle w:val="Bibliography"/>
      </w:pPr>
      <w:r>
        <w:t xml:space="preserve">94.</w:t>
      </w:r>
      <w:r>
        <w:t xml:space="preserve"> </w:t>
      </w:r>
      <w:r>
        <w:t xml:space="preserve">	</w:t>
      </w:r>
      <w:r>
        <w:t xml:space="preserve">Munafò, M. R. &amp; Smith, G. D. Robust research needs many lines of evidence.</w:t>
      </w:r>
      <w:r>
        <w:t xml:space="preserve"> </w:t>
      </w:r>
      <w:r>
        <w:rPr>
          <w:iCs/>
          <w:i/>
        </w:rPr>
        <w:t xml:space="preserve">Nature</w:t>
      </w:r>
      <w:r>
        <w:t xml:space="preserve"> </w:t>
      </w:r>
      <w:r>
        <w:rPr>
          <w:bCs/>
          <w:b/>
        </w:rPr>
        <w:t xml:space="preserve">553</w:t>
      </w:r>
      <w:r>
        <w:t xml:space="preserve">, 399–401 (2018).</w:t>
      </w:r>
    </w:p>
    <w:bookmarkEnd w:id="318"/>
    <w:bookmarkStart w:id="319" w:name="ref-Pagen71"/>
    <w:p>
      <w:pPr>
        <w:pStyle w:val="Bibliography"/>
      </w:pPr>
      <w:r>
        <w:t xml:space="preserve">95.</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 (Clinical Research Ed.)</w:t>
      </w:r>
      <w:r>
        <w:t xml:space="preserve"> </w:t>
      </w:r>
      <w:r>
        <w:rPr>
          <w:bCs/>
          <w:b/>
        </w:rPr>
        <w:t xml:space="preserve">372</w:t>
      </w:r>
      <w:r>
        <w:t xml:space="preserve">, (2021).</w:t>
      </w:r>
    </w:p>
    <w:bookmarkEnd w:id="319"/>
    <w:bookmarkStart w:id="320" w:name="ref-sterne2019a"/>
    <w:p>
      <w:pPr>
        <w:pStyle w:val="Bibliography"/>
      </w:pPr>
      <w:r>
        <w:t xml:space="preserve">96.</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320"/>
    <w:bookmarkStart w:id="321" w:name="ref-mcguinness2018"/>
    <w:p>
      <w:pPr>
        <w:pStyle w:val="Bibliography"/>
      </w:pPr>
      <w:r>
        <w:t xml:space="preserve">97.</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321"/>
    <w:bookmarkStart w:id="322" w:name="ref-riley2010"/>
    <w:p>
      <w:pPr>
        <w:pStyle w:val="Bibliography"/>
      </w:pPr>
      <w:r>
        <w:t xml:space="preserve">98.</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322"/>
    <w:bookmarkStart w:id="323" w:name="ref-stewart1993"/>
    <w:p>
      <w:pPr>
        <w:pStyle w:val="Bibliography"/>
      </w:pPr>
      <w:r>
        <w:t xml:space="preserve">99.</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323"/>
    <w:bookmarkStart w:id="324" w:name="ref-arain2009"/>
    <w:p>
      <w:pPr>
        <w:pStyle w:val="Bibliography"/>
      </w:pPr>
      <w:r>
        <w:t xml:space="preserve">100.</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324"/>
    <w:bookmarkStart w:id="325" w:name="ref-clayton2018"/>
    <w:p>
      <w:pPr>
        <w:pStyle w:val="Bibliography"/>
      </w:pPr>
      <w:r>
        <w:t xml:space="preserve">101.</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325"/>
    <w:bookmarkStart w:id="326" w:name="ref-mccartney2016"/>
    <w:p>
      <w:pPr>
        <w:pStyle w:val="Bibliography"/>
      </w:pPr>
      <w:r>
        <w:t xml:space="preserve">102.</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326"/>
    <w:bookmarkStart w:id="327" w:name="ref-letenneur1999"/>
    <w:p>
      <w:pPr>
        <w:pStyle w:val="Bibliography"/>
      </w:pPr>
      <w:r>
        <w:t xml:space="preserve">103.</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w:t>
      </w:r>
      <w:r>
        <w:t xml:space="preserve"> </w:t>
      </w:r>
      <w:r>
        <w:t xml:space="preserve">Incidence</w:t>
      </w:r>
      <w:r>
        <w:t xml:space="preserve"> </w:t>
      </w:r>
      <w:r>
        <w:t xml:space="preserve">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327"/>
    <w:bookmarkStart w:id="328" w:name="ref-riley2020"/>
    <w:p>
      <w:pPr>
        <w:pStyle w:val="Bibliography"/>
      </w:pPr>
      <w:r>
        <w:t xml:space="preserve">104.</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w:t>
      </w:r>
      <w:r>
        <w:t xml:space="preserve"> </w:t>
      </w:r>
      <w:r>
        <w:t xml:space="preserve">Statistical</w:t>
      </w:r>
      <w:r>
        <w:t xml:space="preserve"> </w:t>
      </w:r>
      <w:r>
        <w:t xml:space="preserve">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328"/>
    <w:bookmarkStart w:id="329" w:name="ref-stewart2002"/>
    <w:p>
      <w:pPr>
        <w:pStyle w:val="Bibliography"/>
      </w:pPr>
      <w:r>
        <w:t xml:space="preserve">105.</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w:t>
      </w:r>
      <w:r>
        <w:t xml:space="preserve"> </w:t>
      </w:r>
      <w:r>
        <w:t xml:space="preserve">Advantages</w:t>
      </w:r>
      <w:r>
        <w:t xml:space="preserve"> </w:t>
      </w:r>
      <w:r>
        <w:t xml:space="preserve">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329"/>
    <w:bookmarkStart w:id="330" w:name="ref-tugwell2010"/>
    <w:p>
      <w:pPr>
        <w:pStyle w:val="Bibliography"/>
      </w:pPr>
      <w:r>
        <w:t xml:space="preserve">106.</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330"/>
    <w:bookmarkStart w:id="331" w:name="ref-nevitt2017a"/>
    <w:p>
      <w:pPr>
        <w:pStyle w:val="Bibliography"/>
      </w:pPr>
      <w:r>
        <w:t xml:space="preserve">107.</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(2017).</w:t>
      </w:r>
    </w:p>
    <w:bookmarkEnd w:id="331"/>
    <w:bookmarkStart w:id="332" w:name="ref-ventresca2020"/>
    <w:p>
      <w:pPr>
        <w:pStyle w:val="Bibliography"/>
      </w:pPr>
      <w:r>
        <w:t xml:space="preserve">108.</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332"/>
    <w:bookmarkStart w:id="333" w:name="ref-alsheikh-ali2011"/>
    <w:p>
      <w:pPr>
        <w:pStyle w:val="Bibliography"/>
      </w:pPr>
      <w:r>
        <w:t xml:space="preserve">109.</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333"/>
    <w:bookmarkStart w:id="334" w:name="ref-federer2018a"/>
    <w:p>
      <w:pPr>
        <w:pStyle w:val="Bibliography"/>
      </w:pPr>
      <w:r>
        <w:t xml:space="preserve">110.</w:t>
      </w:r>
      <w:r>
        <w:t xml:space="preserve"> </w:t>
      </w:r>
      <w:r>
        <w:t xml:space="preserve">	</w:t>
      </w:r>
      <w:r>
        <w:t xml:space="preserve">Federer, L. M.</w:t>
      </w:r>
      <w:r>
        <w:t xml:space="preserve"> </w:t>
      </w:r>
      <w:r>
        <w:rPr>
          <w:iCs/>
          <w:i/>
        </w:rPr>
        <w:t xml:space="preserve">et al.</w:t>
      </w:r>
      <w:r>
        <w:t xml:space="preserve"> Data sharing in</w:t>
      </w:r>
      <w:r>
        <w:t xml:space="preserve"> </w:t>
      </w:r>
      <w:r>
        <w:t xml:space="preserve">PLOS ONE</w:t>
      </w:r>
      <w:r>
        <w:t xml:space="preserve">:</w:t>
      </w:r>
      <w:r>
        <w:t xml:space="preserve"> </w:t>
      </w:r>
      <w:r>
        <w:t xml:space="preserve">An</w:t>
      </w:r>
      <w:r>
        <w:t xml:space="preserve"> </w:t>
      </w:r>
      <w:r>
        <w:t xml:space="preserve">analysis of</w:t>
      </w:r>
      <w:r>
        <w:t xml:space="preserve"> </w:t>
      </w:r>
      <w:r>
        <w:t xml:space="preserve">Data Availability Statements</w:t>
      </w:r>
      <w:r>
        <w:t xml:space="preserve">.</w:t>
      </w:r>
      <w:r>
        <w:t xml:space="preserve"> </w:t>
      </w:r>
      <w:r>
        <w:rPr>
          <w:iCs/>
          <w:i/>
        </w:rPr>
        <w:t xml:space="preserve">PLOS ONE</w:t>
      </w:r>
      <w:r>
        <w:t xml:space="preserve"> </w:t>
      </w:r>
      <w:r>
        <w:rPr>
          <w:bCs/>
          <w:b/>
        </w:rPr>
        <w:t xml:space="preserve">13</w:t>
      </w:r>
      <w:r>
        <w:t xml:space="preserve">, e0194768 (2018).</w:t>
      </w:r>
    </w:p>
    <w:bookmarkEnd w:id="334"/>
    <w:bookmarkStart w:id="335" w:name="ref-vines2014"/>
    <w:p>
      <w:pPr>
        <w:pStyle w:val="Bibliography"/>
      </w:pPr>
      <w:r>
        <w:t xml:space="preserve">111.</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335"/>
    <w:bookmarkStart w:id="336" w:name="ref-vanpanhuis2014a"/>
    <w:p>
      <w:pPr>
        <w:pStyle w:val="Bibliography"/>
      </w:pPr>
      <w:r>
        <w:t xml:space="preserve">112.</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336"/>
    <w:bookmarkStart w:id="337" w:name="ref-wartenberg2010"/>
    <w:p>
      <w:pPr>
        <w:pStyle w:val="Bibliography"/>
      </w:pPr>
      <w:r>
        <w:t xml:space="preserve">113.</w:t>
      </w:r>
      <w:r>
        <w:t xml:space="preserve"> </w:t>
      </w:r>
      <w:r>
        <w:t xml:space="preserve">	</w:t>
      </w:r>
      <w:r>
        <w:t xml:space="preserve">Wartenberg, D. &amp; Thompson, W. D. Privacy</w:t>
      </w:r>
      <w:r>
        <w:t xml:space="preserve"> </w:t>
      </w:r>
      <w:r>
        <w:t xml:space="preserve">Versus Public Health</w:t>
      </w:r>
      <w:r>
        <w:t xml:space="preserve">:</w:t>
      </w:r>
      <w:r>
        <w:t xml:space="preserve"> </w:t>
      </w:r>
      <w:r>
        <w:t xml:space="preserve">The 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337"/>
    <w:bookmarkStart w:id="338" w:name="ref-bauermeister2020"/>
    <w:p>
      <w:pPr>
        <w:pStyle w:val="Bibliography"/>
      </w:pPr>
      <w:r>
        <w:t xml:space="preserve">114.</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338"/>
    <w:bookmarkStart w:id="339" w:name="ref-rawlinson2019"/>
    <w:p>
      <w:pPr>
        <w:pStyle w:val="Bibliography"/>
      </w:pPr>
      <w:r>
        <w:t xml:space="preserve">115.</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339"/>
    <w:bookmarkStart w:id="341" w:name="ref-sever2019"/>
    <w:p>
      <w:pPr>
        <w:pStyle w:val="Bibliography"/>
      </w:pPr>
      <w:r>
        <w:t xml:space="preserve">116.</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340">
        <w:r>
          <w:rPr>
            <w:rStyle w:val="Hyperlink"/>
          </w:rPr>
          <w:t xml:space="preserve">10.1101/833400</w:t>
        </w:r>
      </w:hyperlink>
    </w:p>
    <w:bookmarkEnd w:id="341"/>
    <w:bookmarkStart w:id="342" w:name="ref-bramer2018a"/>
    <w:p>
      <w:pPr>
        <w:pStyle w:val="Bibliography"/>
      </w:pPr>
      <w:r>
        <w:t xml:space="preserve">117.</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342"/>
    <w:bookmarkStart w:id="343" w:name="ref-gusenbauer2020"/>
    <w:p>
      <w:pPr>
        <w:pStyle w:val="Bibliography"/>
      </w:pPr>
      <w:r>
        <w:t xml:space="preserve">118.</w:t>
      </w:r>
      <w:r>
        <w:t xml:space="preserve"> </w:t>
      </w:r>
      <w:r>
        <w:t xml:space="preserve">	</w:t>
      </w:r>
      <w:r>
        <w:t xml:space="preserve">Gusenbauer, M. &amp; Haddaway, N. R. Which academic search systems are suitable for systematic reviews or meta-analyses?</w:t>
      </w:r>
      <w:r>
        <w:t xml:space="preserve"> </w:t>
      </w:r>
      <w:r>
        <w:t xml:space="preserve">Evaluating</w:t>
      </w:r>
      <w:r>
        <w:t xml:space="preserve"> </w:t>
      </w:r>
      <w:r>
        <w:t xml:space="preserve">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343"/>
    <w:bookmarkStart w:id="344" w:name="ref-wateridge1995"/>
    <w:p>
      <w:pPr>
        <w:pStyle w:val="Bibliography"/>
      </w:pPr>
      <w:r>
        <w:t xml:space="preserve">119.</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344"/>
    <w:bookmarkStart w:id="345" w:name="ref-abdill2019"/>
    <w:p>
      <w:pPr>
        <w:pStyle w:val="Bibliography"/>
      </w:pPr>
      <w:r>
        <w:t xml:space="preserve">120.</w:t>
      </w:r>
      <w:r>
        <w:t xml:space="preserve"> </w:t>
      </w:r>
      <w:r>
        <w:t xml:space="preserve">	</w:t>
      </w:r>
      <w:r>
        <w:t xml:space="preserve">Abdill, R. J. &amp; Blekhman, R. Rxivist.org:</w:t>
      </w:r>
      <w:r>
        <w:t xml:space="preserve"> </w:t>
      </w:r>
      <w:r>
        <w:t xml:space="preserve">Sorting</w:t>
      </w:r>
      <w:r>
        <w:t xml:space="preserve"> </w:t>
      </w:r>
      <w:r>
        <w:t xml:space="preserve">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345"/>
    <w:bookmarkStart w:id="346" w:name="ref-iwema2016"/>
    <w:p>
      <w:pPr>
        <w:pStyle w:val="Bibliography"/>
      </w:pPr>
      <w:r>
        <w:t xml:space="preserve">121.</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346"/>
    <w:bookmarkStart w:id="348" w:name="ref-shaw2002"/>
    <w:p>
      <w:pPr>
        <w:pStyle w:val="Bibliography"/>
      </w:pPr>
      <w:r>
        <w:t xml:space="preserve">122.</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347">
        <w:r>
          <w:rPr>
            <w:rStyle w:val="Hyperlink"/>
          </w:rPr>
          <w:t xml:space="preserve">10.1145/582128.582152</w:t>
        </w:r>
      </w:hyperlink>
    </w:p>
    <w:bookmarkEnd w:id="348"/>
    <w:bookmarkStart w:id="349" w:name="ref-laprie1992"/>
    <w:p>
      <w:pPr>
        <w:pStyle w:val="Bibliography"/>
      </w:pPr>
      <w:r>
        <w:t xml:space="preserve">123.</w:t>
      </w:r>
      <w:r>
        <w:t xml:space="preserve"> </w:t>
      </w:r>
      <w:r>
        <w:t xml:space="preserve">	</w:t>
      </w:r>
      <w:r>
        <w:t xml:space="preserve">Laprie, J. C. Dependability:</w:t>
      </w:r>
      <w:r>
        <w:t xml:space="preserve"> </w:t>
      </w:r>
      <w:r>
        <w:t xml:space="preserve">Basic Concepts</w:t>
      </w:r>
      <w:r>
        <w:t xml:space="preserve"> </w:t>
      </w:r>
      <w:r>
        <w:t xml:space="preserve">and</w:t>
      </w:r>
      <w:r>
        <w:t xml:space="preserve"> </w:t>
      </w:r>
      <w:r>
        <w:t xml:space="preserve">Terminology</w:t>
      </w:r>
      <w:r>
        <w:t xml:space="preserve">. in</w:t>
      </w:r>
      <w:r>
        <w:t xml:space="preserve"> </w:t>
      </w:r>
      <w:r>
        <w:rPr>
          <w:iCs/>
          <w:i/>
        </w:rPr>
        <w:t xml:space="preserve">Dependability:</w:t>
      </w:r>
      <w:r>
        <w:rPr>
          <w:iCs/>
          <w:i/>
        </w:rPr>
        <w:t xml:space="preserve"> </w:t>
      </w:r>
      <w:r>
        <w:rPr>
          <w:iCs/>
          <w:i/>
        </w:rPr>
        <w:t xml:space="preserve">Basic Concepts</w:t>
      </w:r>
      <w:r>
        <w:rPr>
          <w:iCs/>
          <w:i/>
        </w:rPr>
        <w:t xml:space="preserve"> </w:t>
      </w:r>
      <w:r>
        <w:rPr>
          <w:iCs/>
          <w:i/>
        </w:rPr>
        <w:t xml:space="preserve">and</w:t>
      </w:r>
      <w:r>
        <w:rPr>
          <w:iCs/>
          <w:i/>
        </w:rPr>
        <w:t xml:space="preserve"> </w:t>
      </w:r>
      <w:r>
        <w:rPr>
          <w:iCs/>
          <w:i/>
        </w:rPr>
        <w:t xml:space="preserve">Terminology</w:t>
      </w:r>
      <w:r>
        <w:rPr>
          <w:iCs/>
          <w:i/>
        </w:rPr>
        <w:t xml:space="preserve">:</w:t>
      </w:r>
      <w:r>
        <w:rPr>
          <w:iCs/>
          <w:i/>
        </w:rPr>
        <w:t xml:space="preserve"> </w:t>
      </w:r>
      <w:r>
        <w:rPr>
          <w:iCs/>
          <w:i/>
        </w:rPr>
        <w:t xml:space="preserve">In 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349"/>
    <w:bookmarkStart w:id="350" w:name="ref-rcoreteam2019"/>
    <w:p>
      <w:pPr>
        <w:pStyle w:val="Bibliography"/>
      </w:pPr>
      <w:r>
        <w:t xml:space="preserve">124.</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350"/>
    <w:bookmarkStart w:id="351" w:name="ref-bramer2018"/>
    <w:p>
      <w:pPr>
        <w:pStyle w:val="Bibliography"/>
      </w:pPr>
      <w:r>
        <w:t xml:space="preserve">125.</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351"/>
    <w:bookmarkStart w:id="353" w:name="ref-kodvanj2020"/>
    <w:p>
      <w:pPr>
        <w:pStyle w:val="Bibliography"/>
      </w:pPr>
      <w:r>
        <w:t xml:space="preserve">126.</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352">
        <w:r>
          <w:rPr>
            <w:rStyle w:val="Hyperlink"/>
          </w:rPr>
          <w:t xml:space="preserve">10.1101/2020.11.23.394577</w:t>
        </w:r>
      </w:hyperlink>
    </w:p>
    <w:bookmarkEnd w:id="353"/>
    <w:bookmarkStart w:id="354" w:name="ref-noone2020"/>
    <w:p>
      <w:pPr>
        <w:pStyle w:val="Bibliography"/>
      </w:pPr>
      <w:r>
        <w:t xml:space="preserve">127.</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354"/>
    <w:bookmarkStart w:id="355" w:name="ref-grassly2020"/>
    <w:p>
      <w:pPr>
        <w:pStyle w:val="Bibliography"/>
      </w:pPr>
      <w:r>
        <w:t xml:space="preserve">128.</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355"/>
    <w:bookmarkStart w:id="357" w:name="ref-mcguinness2020c"/>
    <w:p>
      <w:pPr>
        <w:pStyle w:val="Bibliography"/>
      </w:pPr>
      <w:r>
        <w:t xml:space="preserve">129.</w:t>
      </w:r>
      <w:r>
        <w:t xml:space="preserve"> </w:t>
      </w:r>
      <w:r>
        <w:t xml:space="preserve">	</w:t>
      </w:r>
      <w:r>
        <w:t xml:space="preserve">McGuinness, L. A. &amp; Sheppard, A. L. A descriptive analysis of the data availability statements accompanying</w:t>
      </w:r>
      <w:r>
        <w:t xml:space="preserve"> </w:t>
      </w:r>
      <w:r>
        <w:t xml:space="preserve">medRxiv</w:t>
      </w:r>
      <w:r>
        <w:t xml:space="preserve"> </w:t>
      </w:r>
      <w:r>
        <w:t xml:space="preserve">preprints and a comparison with their published counterparts.</w:t>
      </w:r>
      <w:r>
        <w:t xml:space="preserve"> </w:t>
      </w:r>
      <w:r>
        <w:rPr>
          <w:iCs/>
          <w:i/>
        </w:rPr>
        <w:t xml:space="preserve">MetaArXiv</w:t>
      </w:r>
      <w:r>
        <w:t xml:space="preserve"> </w:t>
      </w:r>
      <w:r>
        <w:t xml:space="preserve">(2020). doi:</w:t>
      </w:r>
      <w:hyperlink r:id="rId356">
        <w:r>
          <w:rPr>
            <w:rStyle w:val="Hyperlink"/>
          </w:rPr>
          <w:t xml:space="preserve">10.31222/osf.io/p75xe</w:t>
        </w:r>
      </w:hyperlink>
    </w:p>
    <w:bookmarkEnd w:id="357"/>
    <w:bookmarkStart w:id="358" w:name="ref-boettiger2015"/>
    <w:p>
      <w:pPr>
        <w:pStyle w:val="Bibliography"/>
      </w:pPr>
      <w:r>
        <w:t xml:space="preserve">130.</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w:t>
      </w:r>
      <w:r>
        <w:t xml:space="preserve"> </w:t>
      </w:r>
      <w:r>
        <w:t xml:space="preserve">Lessons</w:t>
      </w:r>
      <w:r>
        <w:t xml:space="preserve"> </w:t>
      </w:r>
      <w:r>
        <w:t xml:space="preserve">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358"/>
    <w:bookmarkStart w:id="359" w:name="ref-mcguinness2020a"/>
    <w:p>
      <w:pPr>
        <w:pStyle w:val="Bibliography"/>
      </w:pPr>
      <w:r>
        <w:t xml:space="preserve">131.</w:t>
      </w:r>
      <w:r>
        <w:t xml:space="preserve"> </w:t>
      </w:r>
      <w:r>
        <w:t xml:space="preserve">	</w:t>
      </w:r>
      <w:r>
        <w:t xml:space="preserve">McGuinness, L.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359"/>
    <w:bookmarkStart w:id="361" w:name="ref-bong2019"/>
    <w:p>
      <w:pPr>
        <w:pStyle w:val="Bibliography"/>
      </w:pPr>
      <w:r>
        <w:t xml:space="preserve">132.</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360">
        <w:r>
          <w:rPr>
            <w:rStyle w:val="Hyperlink"/>
          </w:rPr>
          <w:t xml:space="preserve">10.1101/19000265</w:t>
        </w:r>
      </w:hyperlink>
    </w:p>
    <w:bookmarkEnd w:id="361"/>
    <w:bookmarkStart w:id="362" w:name="ref-song2010"/>
    <w:p>
      <w:pPr>
        <w:pStyle w:val="Bibliography"/>
      </w:pPr>
      <w:r>
        <w:t xml:space="preserve">133.</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362"/>
    <w:bookmarkStart w:id="364" w:name="ref-goldacre2019b"/>
    <w:p>
      <w:pPr>
        <w:pStyle w:val="Bibliography"/>
      </w:pPr>
      <w:r>
        <w:t xml:space="preserve">134.</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t xml:space="preserve">l6365 (2019). doi:</w:t>
      </w:r>
      <w:hyperlink r:id="rId363">
        <w:r>
          <w:rPr>
            <w:rStyle w:val="Hyperlink"/>
          </w:rPr>
          <w:t xml:space="preserve">10.1136/bmj.l6365</w:t>
        </w:r>
      </w:hyperlink>
    </w:p>
    <w:bookmarkEnd w:id="364"/>
    <w:bookmarkStart w:id="365" w:name="ref-mckiernan2016c"/>
    <w:p>
      <w:pPr>
        <w:pStyle w:val="Bibliography"/>
      </w:pPr>
      <w:r>
        <w:t xml:space="preserve">135.</w:t>
      </w:r>
      <w:r>
        <w:t xml:space="preserve"> </w:t>
      </w:r>
      <w:r>
        <w:t xml:space="preserve">	</w:t>
      </w:r>
      <w:r>
        <w:t xml:space="preserve">McKiernan, E. C.</w:t>
      </w:r>
      <w:r>
        <w:t xml:space="preserve"> </w:t>
      </w:r>
      <w:r>
        <w:rPr>
          <w:iCs/>
          <w:i/>
        </w:rPr>
        <w:t xml:space="preserve">et al.</w:t>
      </w:r>
      <w:r>
        <w:t xml:space="preserve"> How open science helps researchers succeed.</w:t>
      </w:r>
      <w:r>
        <w:t xml:space="preserve"> </w:t>
      </w:r>
      <w:r>
        <w:rPr>
          <w:iCs/>
          <w:i/>
        </w:rPr>
        <w:t xml:space="preserve">eLife</w:t>
      </w:r>
      <w:r>
        <w:t xml:space="preserve"> </w:t>
      </w:r>
      <w:r>
        <w:rPr>
          <w:bCs/>
          <w:b/>
        </w:rPr>
        <w:t xml:space="preserve">5</w:t>
      </w:r>
      <w:r>
        <w:t xml:space="preserve">, e16800 (2016).</w:t>
      </w:r>
    </w:p>
    <w:bookmarkEnd w:id="365"/>
    <w:bookmarkStart w:id="366" w:name="ref-rbiorxiv"/>
    <w:p>
      <w:pPr>
        <w:pStyle w:val="Bibliography"/>
      </w:pPr>
      <w:r>
        <w:t xml:space="preserve">136.</w:t>
      </w:r>
      <w:r>
        <w:t xml:space="preserve"> </w:t>
      </w:r>
      <w:r>
        <w:t xml:space="preserve">	</w:t>
      </w:r>
      <w:r>
        <w:t xml:space="preserve">Fraser, N.</w:t>
      </w:r>
      <w:r>
        <w:t xml:space="preserve"> </w:t>
      </w:r>
      <w:r>
        <w:rPr>
          <w:iCs/>
          <w:i/>
        </w:rPr>
        <w:t xml:space="preserve">Rbiorxiv:</w:t>
      </w:r>
      <w:r>
        <w:rPr>
          <w:iCs/>
          <w:i/>
        </w:rPr>
        <w:t xml:space="preserve"> </w:t>
      </w:r>
      <w:r>
        <w:rPr>
          <w:iCs/>
          <w:i/>
        </w:rPr>
        <w:t xml:space="preserve">Client</w:t>
      </w:r>
      <w:r>
        <w:rPr>
          <w:iCs/>
          <w:i/>
        </w:rPr>
        <w:t xml:space="preserve"> </w:t>
      </w:r>
      <w:r>
        <w:rPr>
          <w:iCs/>
          <w:i/>
        </w:rPr>
        <w:t xml:space="preserve">for the ’</w:t>
      </w:r>
      <w:r>
        <w:rPr>
          <w:iCs/>
          <w:i/>
        </w:rPr>
        <w:t xml:space="preserve">bioRxiv</w:t>
      </w:r>
      <w:r>
        <w:rPr>
          <w:iCs/>
          <w:i/>
        </w:rPr>
        <w:t xml:space="preserve">’</w:t>
      </w:r>
      <w:r>
        <w:rPr>
          <w:iCs/>
          <w:i/>
        </w:rPr>
        <w:t xml:space="preserve"> </w:t>
      </w:r>
      <w:r>
        <w:rPr>
          <w:iCs/>
          <w:i/>
        </w:rPr>
        <w:t xml:space="preserve">API</w:t>
      </w:r>
      <w:r>
        <w:t xml:space="preserve">. (2020).</w:t>
      </w:r>
    </w:p>
    <w:bookmarkEnd w:id="366"/>
    <w:bookmarkStart w:id="368" w:name="ref-vuorre2020"/>
    <w:p>
      <w:pPr>
        <w:pStyle w:val="Bibliography"/>
      </w:pPr>
      <w:r>
        <w:t xml:space="preserve">137.</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367">
        <w:r>
          <w:rPr>
            <w:rStyle w:val="Hyperlink"/>
          </w:rPr>
          <w:t xml:space="preserve">10.3758/s13428-020-01436-x</w:t>
        </w:r>
      </w:hyperlink>
    </w:p>
    <w:bookmarkEnd w:id="368"/>
    <w:bookmarkStart w:id="370" w:name="ref-mcguinnessluke2020"/>
    <w:p>
      <w:pPr>
        <w:pStyle w:val="Bibliography"/>
      </w:pPr>
      <w:r>
        <w:t xml:space="preserve">138.</w:t>
      </w:r>
      <w:r>
        <w:t xml:space="preserve"> </w:t>
      </w:r>
      <w:r>
        <w:t xml:space="preserve">	</w:t>
      </w:r>
      <w:r>
        <w:t xml:space="preserve">McGuinness, L., Higgins, J., Ben-Shlomo, Yoav, Coulthard, L. &amp; Smith, G. The relationship between blood lipid levels and dementia: Protocol for a systematic review and triangulation of all available evidence.</w:t>
      </w:r>
      <w:r>
        <w:t xml:space="preserve"> </w:t>
      </w:r>
      <w:r>
        <w:rPr>
          <w:iCs/>
          <w:i/>
        </w:rPr>
        <w:t xml:space="preserve">OSF</w:t>
      </w:r>
      <w:r>
        <w:t xml:space="preserve"> </w:t>
      </w:r>
      <w:r>
        <w:t xml:space="preserve">(2020). doi:</w:t>
      </w:r>
      <w:hyperlink r:id="rId369">
        <w:r>
          <w:rPr>
            <w:rStyle w:val="Hyperlink"/>
          </w:rPr>
          <w:t xml:space="preserve">10.17605/OSF.IO/VTW5Y</w:t>
        </w:r>
      </w:hyperlink>
    </w:p>
    <w:bookmarkEnd w:id="370"/>
    <w:bookmarkStart w:id="371" w:name="ref-bramer2016"/>
    <w:p>
      <w:pPr>
        <w:pStyle w:val="Bibliography"/>
      </w:pPr>
      <w:r>
        <w:t xml:space="preserve">139.</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371"/>
    <w:bookmarkStart w:id="372" w:name="ref-hupe2019"/>
    <w:p>
      <w:pPr>
        <w:pStyle w:val="Bibliography"/>
      </w:pPr>
      <w:r>
        <w:t xml:space="preserve">140.</w:t>
      </w:r>
      <w:r>
        <w:t xml:space="preserve"> </w:t>
      </w:r>
      <w:r>
        <w:t xml:space="preserve">	</w:t>
      </w:r>
      <w:r>
        <w:t xml:space="preserve">Hupe, M.</w:t>
      </w:r>
      <w:r>
        <w:t xml:space="preserve"> </w:t>
      </w:r>
      <w:r>
        <w:t xml:space="preserve">EndNote X9</w:t>
      </w:r>
      <w:r>
        <w:t xml:space="preserve">.</w:t>
      </w:r>
      <w:r>
        <w:t xml:space="preserve"> </w:t>
      </w:r>
      <w:r>
        <w:rPr>
          <w:iCs/>
          <w:i/>
        </w:rPr>
        <w:t xml:space="preserve">Journal of Electronic Resources in Medical Libraries</w:t>
      </w:r>
      <w:r>
        <w:t xml:space="preserve"> </w:t>
      </w:r>
      <w:r>
        <w:rPr>
          <w:bCs/>
          <w:b/>
        </w:rPr>
        <w:t xml:space="preserve">16</w:t>
      </w:r>
      <w:r>
        <w:t xml:space="preserve">, 117–119 (2019).</w:t>
      </w:r>
    </w:p>
    <w:bookmarkEnd w:id="372"/>
    <w:bookmarkStart w:id="373" w:name="ref-ouzzani2016"/>
    <w:p>
      <w:pPr>
        <w:pStyle w:val="Bibliography"/>
      </w:pPr>
      <w:r>
        <w:t xml:space="preserve">141.</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373"/>
    <w:bookmarkStart w:id="374" w:name="ref-zotero-766"/>
    <w:p>
      <w:pPr>
        <w:pStyle w:val="Bibliography"/>
      </w:pPr>
      <w:r>
        <w:t xml:space="preserve">142.</w:t>
      </w:r>
      <w:r>
        <w:t xml:space="preserve"> </w:t>
      </w:r>
      <w:r>
        <w:t xml:space="preserve">	</w:t>
      </w:r>
      <w:r>
        <w:t xml:space="preserve">The</w:t>
      </w:r>
      <w:r>
        <w:t xml:space="preserve"> </w:t>
      </w:r>
      <w:r>
        <w:t xml:space="preserve">PRISMA</w:t>
      </w:r>
      <w:r>
        <w:t xml:space="preserve"> </w:t>
      </w:r>
      <w:r>
        <w:t xml:space="preserve">statement for reporting systematic reviews and meta-analyses of studies that evaluate healthcare interventions: Explanation and elaboration |</w:t>
      </w:r>
      <w:r>
        <w:t xml:space="preserve"> </w:t>
      </w:r>
      <w:r>
        <w:t xml:space="preserve">The BMJ</w:t>
      </w:r>
      <w:r>
        <w:t xml:space="preserve">.</w:t>
      </w:r>
    </w:p>
    <w:bookmarkEnd w:id="374"/>
    <w:bookmarkStart w:id="375" w:name="ref-petersen1999"/>
    <w:p>
      <w:pPr>
        <w:pStyle w:val="Bibliography"/>
      </w:pPr>
      <w:r>
        <w:t xml:space="preserve">143.</w:t>
      </w:r>
      <w:r>
        <w:t xml:space="preserve"> </w:t>
      </w:r>
      <w:r>
        <w:t xml:space="preserve">	</w:t>
      </w:r>
      <w:r>
        <w:t xml:space="preserve">Petersen, R. C.</w:t>
      </w:r>
      <w:r>
        <w:t xml:space="preserve"> </w:t>
      </w:r>
      <w:r>
        <w:rPr>
          <w:iCs/>
          <w:i/>
        </w:rPr>
        <w:t xml:space="preserve">et al.</w:t>
      </w:r>
      <w:r>
        <w:t xml:space="preserve"> Mild cognitive impairment: Clinical characterization and outcome.</w:t>
      </w:r>
      <w:r>
        <w:t xml:space="preserve"> </w:t>
      </w:r>
      <w:r>
        <w:rPr>
          <w:iCs/>
          <w:i/>
        </w:rPr>
        <w:t xml:space="preserve">Archives of Neurology</w:t>
      </w:r>
      <w:r>
        <w:t xml:space="preserve"> </w:t>
      </w:r>
      <w:r>
        <w:rPr>
          <w:bCs/>
          <w:b/>
        </w:rPr>
        <w:t xml:space="preserve">56</w:t>
      </w:r>
      <w:r>
        <w:t xml:space="preserve">, 303–308 (1999).</w:t>
      </w:r>
    </w:p>
    <w:bookmarkEnd w:id="375"/>
    <w:bookmarkStart w:id="376" w:name="ref-gwet2008"/>
    <w:p>
      <w:pPr>
        <w:pStyle w:val="Bibliography"/>
      </w:pPr>
      <w:r>
        <w:t xml:space="preserve">144.</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376"/>
    <w:bookmarkStart w:id="377" w:name="ref-cohen1960"/>
    <w:p>
      <w:pPr>
        <w:pStyle w:val="Bibliography"/>
      </w:pPr>
      <w:r>
        <w:t xml:space="preserve">145.</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377"/>
    <w:bookmarkStart w:id="378" w:name="ref-wongpakaran2013"/>
    <w:p>
      <w:pPr>
        <w:pStyle w:val="Bibliography"/>
      </w:pPr>
      <w:r>
        <w:t xml:space="preserve">146.</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378"/>
    <w:bookmarkStart w:id="379" w:name="ref-brennan1992"/>
    <w:p>
      <w:pPr>
        <w:pStyle w:val="Bibliography"/>
      </w:pPr>
      <w:r>
        <w:t xml:space="preserve">147.</w:t>
      </w:r>
      <w:r>
        <w:t xml:space="preserve"> </w:t>
      </w:r>
      <w:r>
        <w:t xml:space="preserve">	</w:t>
      </w:r>
      <w:r>
        <w:t xml:space="preserve">Brennan, P. &amp; Silman, A. Statistical methods for assessing observer variability in clinical measures.</w:t>
      </w:r>
      <w:r>
        <w:t xml:space="preserve"> </w:t>
      </w:r>
      <w:r>
        <w:rPr>
          <w:iCs/>
          <w:i/>
        </w:rPr>
        <w:t xml:space="preserve">BMJ : British Medical Journal</w:t>
      </w:r>
      <w:r>
        <w:t xml:space="preserve"> </w:t>
      </w:r>
      <w:r>
        <w:rPr>
          <w:bCs/>
          <w:b/>
        </w:rPr>
        <w:t xml:space="preserve">304</w:t>
      </w:r>
      <w:r>
        <w:t xml:space="preserve">, 1491–1494 (1992).</w:t>
      </w:r>
    </w:p>
    <w:bookmarkEnd w:id="379"/>
    <w:bookmarkStart w:id="380" w:name="ref-mchugh2012"/>
    <w:p>
      <w:pPr>
        <w:pStyle w:val="Bibliography"/>
      </w:pPr>
      <w:r>
        <w:t xml:space="preserve">148.</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380"/>
    <w:bookmarkStart w:id="381" w:name="ref-mcguinness2018a"/>
    <w:p>
      <w:pPr>
        <w:pStyle w:val="Bibliography"/>
      </w:pPr>
      <w:r>
        <w:t xml:space="preserve">149.</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 (2018).</w:t>
      </w:r>
    </w:p>
    <w:bookmarkEnd w:id="381"/>
    <w:bookmarkStart w:id="382" w:name="ref-sterne2016"/>
    <w:p>
      <w:pPr>
        <w:pStyle w:val="Bibliography"/>
      </w:pPr>
      <w:r>
        <w:t xml:space="preserve">150.</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(2016).</w:t>
      </w:r>
    </w:p>
    <w:bookmarkEnd w:id="382"/>
    <w:bookmarkStart w:id="383" w:name="ref-campbell1957"/>
    <w:p>
      <w:pPr>
        <w:pStyle w:val="Bibliography"/>
      </w:pPr>
      <w:r>
        <w:t xml:space="preserve">151.</w:t>
      </w:r>
      <w:r>
        <w:t xml:space="preserve"> </w:t>
      </w:r>
      <w:r>
        <w:t xml:space="preserve">	</w:t>
      </w:r>
      <w:r>
        <w:t xml:space="preserve">Campbell, D. T. Factors relevant to the validity of experiments in social settings.</w:t>
      </w:r>
      <w:r>
        <w:t xml:space="preserve"> </w:t>
      </w:r>
      <w:r>
        <w:rPr>
          <w:iCs/>
          <w:i/>
        </w:rPr>
        <w:t xml:space="preserve">Psychological Bulletin</w:t>
      </w:r>
      <w:r>
        <w:t xml:space="preserve"> </w:t>
      </w:r>
      <w:r>
        <w:rPr>
          <w:bCs/>
          <w:b/>
        </w:rPr>
        <w:t xml:space="preserve">54</w:t>
      </w:r>
      <w:r>
        <w:t xml:space="preserve">, 297–312 (1957).</w:t>
      </w:r>
    </w:p>
    <w:bookmarkEnd w:id="383"/>
    <w:bookmarkStart w:id="384" w:name="ref-juni2001"/>
    <w:p>
      <w:pPr>
        <w:pStyle w:val="Bibliography"/>
      </w:pPr>
      <w:r>
        <w:t xml:space="preserve">152.</w:t>
      </w:r>
      <w:r>
        <w:t xml:space="preserve"> </w:t>
      </w:r>
      <w:r>
        <w:t xml:space="preserve">	</w:t>
      </w:r>
      <w:r>
        <w:t xml:space="preserve">Jüni, P., Altman, D. G. &amp; Egger, M. Assessing the quality of controlled clinical trials.</w:t>
      </w:r>
      <w:r>
        <w:t xml:space="preserve"> </w:t>
      </w:r>
      <w:r>
        <w:rPr>
          <w:iCs/>
          <w:i/>
        </w:rPr>
        <w:t xml:space="preserve">BMJ</w:t>
      </w:r>
      <w:r>
        <w:t xml:space="preserve"> </w:t>
      </w:r>
      <w:r>
        <w:rPr>
          <w:bCs/>
          <w:b/>
        </w:rPr>
        <w:t xml:space="preserve">323</w:t>
      </w:r>
      <w:r>
        <w:t xml:space="preserve">, 42–46 (2001).</w:t>
      </w:r>
    </w:p>
    <w:bookmarkEnd w:id="384"/>
    <w:bookmarkStart w:id="385" w:name="ref-sterne2019"/>
    <w:p>
      <w:pPr>
        <w:pStyle w:val="Bibliography"/>
      </w:pPr>
      <w:r>
        <w:t xml:space="preserve">153.</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385"/>
    <w:bookmarkStart w:id="386" w:name="ref-morganr2020"/>
    <w:p>
      <w:pPr>
        <w:pStyle w:val="Bibliography"/>
      </w:pPr>
      <w:r>
        <w:t xml:space="preserve">154.</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386"/>
    <w:bookmarkStart w:id="387" w:name="ref-wells2000newcastle"/>
    <w:p>
      <w:pPr>
        <w:pStyle w:val="Bibliography"/>
      </w:pPr>
      <w:r>
        <w:t xml:space="preserve">155.</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387"/>
    <w:bookmarkStart w:id="388" w:name="ref-mamluk2020"/>
    <w:p>
      <w:pPr>
        <w:pStyle w:val="Bibliography"/>
      </w:pPr>
      <w:r>
        <w:t xml:space="preserve">156.</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388"/>
    <w:bookmarkStart w:id="389" w:name="ref-reynders2019"/>
    <w:p>
      <w:pPr>
        <w:pStyle w:val="Bibliography"/>
      </w:pPr>
      <w:r>
        <w:t xml:space="preserve">157.</w:t>
      </w:r>
      <w:r>
        <w:t xml:space="preserve"> </w:t>
      </w:r>
      <w:r>
        <w:t xml:space="preserve">	</w:t>
      </w:r>
      <w:r>
        <w:t xml:space="preserve">Reynders, R. M., Ladu, L. &amp; Girolamo, N. D. Contacting of authors modified crucial outcomes of systematic reviews but was poorly reported, not systematic, and produced conflicting results.</w:t>
      </w:r>
      <w:r>
        <w:t xml:space="preserve"> </w:t>
      </w:r>
      <w:r>
        <w:rPr>
          <w:iCs/>
          <w:i/>
        </w:rPr>
        <w:t xml:space="preserve">Journal of Clinical Epidemiology</w:t>
      </w:r>
      <w:r>
        <w:t xml:space="preserve"> </w:t>
      </w:r>
      <w:r>
        <w:rPr>
          <w:bCs/>
          <w:b/>
        </w:rPr>
        <w:t xml:space="preserve">115</w:t>
      </w:r>
      <w:r>
        <w:t xml:space="preserve">, 64–76 (2019).</w:t>
      </w:r>
    </w:p>
    <w:bookmarkEnd w:id="389"/>
    <w:bookmarkStart w:id="390" w:name="ref-mcguinness2019"/>
    <w:p>
      <w:pPr>
        <w:pStyle w:val="Bibliography"/>
      </w:pPr>
      <w:r>
        <w:t xml:space="preserve">158.</w:t>
      </w:r>
      <w:r>
        <w:t xml:space="preserve"> </w:t>
      </w:r>
      <w:r>
        <w:t xml:space="preserve">	</w:t>
      </w:r>
      <w:r>
        <w:t xml:space="preserve">McGuinness, L. A. Chapter 10 -</w:t>
      </w:r>
      <w:r>
        <w:t xml:space="preserve"> </w:t>
      </w:r>
      <w:r>
        <w:t xml:space="preserve">Risk</w:t>
      </w:r>
      <w:r>
        <w:t xml:space="preserve"> </w:t>
      </w:r>
      <w:r>
        <w:t xml:space="preserve">of</w:t>
      </w:r>
      <w:r>
        <w:t xml:space="preserve"> </w:t>
      </w:r>
      <w:r>
        <w:t xml:space="preserve">Bias Plots</w:t>
      </w:r>
      <w:r>
        <w:t xml:space="preserve">. in</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(eds. Mathias Harrer, Pim Cuijpers, David D Ebert &amp; Toshi A Furukawa) (2019).</w:t>
      </w:r>
    </w:p>
    <w:bookmarkEnd w:id="390"/>
    <w:bookmarkStart w:id="391" w:name="ref-page2021"/>
    <w:p>
      <w:pPr>
        <w:pStyle w:val="Bibliography"/>
      </w:pPr>
      <w:r>
        <w:t xml:space="preserve">159.</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w:t>
      </w:r>
      <w:r>
        <w:t xml:space="preserve"> </w:t>
      </w:r>
      <w:r>
        <w:rPr>
          <w:bCs/>
          <w:b/>
        </w:rPr>
        <w:t xml:space="preserve">372</w:t>
      </w:r>
      <w:r>
        <w:t xml:space="preserve">, n71 (2021).</w:t>
      </w:r>
    </w:p>
    <w:bookmarkEnd w:id="391"/>
    <w:bookmarkStart w:id="392" w:name="ref-feinstein1990"/>
    <w:p>
      <w:pPr>
        <w:pStyle w:val="Bibliography"/>
      </w:pPr>
      <w:r>
        <w:t xml:space="preserve">160.</w:t>
      </w:r>
      <w:r>
        <w:t xml:space="preserve"> </w:t>
      </w:r>
      <w:r>
        <w:t xml:space="preserve">	</w:t>
      </w:r>
      <w:r>
        <w:t xml:space="preserve">Feinstein, A. R. &amp; Cicchetti, D. V. High agreement but low kappa:</w:t>
      </w:r>
      <w:r>
        <w:t xml:space="preserve"> </w:t>
      </w:r>
      <w:r>
        <w:t xml:space="preserve">I</w:t>
      </w:r>
      <w:r>
        <w:t xml:space="preserve">.</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392"/>
    <w:bookmarkStart w:id="393" w:name="ref-guyatt2011"/>
    <w:p>
      <w:pPr>
        <w:pStyle w:val="Bibliography"/>
      </w:pPr>
      <w:r>
        <w:t xml:space="preserve">161.</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393"/>
    <w:bookmarkStart w:id="394" w:name="ref-shi2021"/>
    <w:p>
      <w:pPr>
        <w:pStyle w:val="Bibliography"/>
      </w:pPr>
      <w:r>
        <w:t xml:space="preserve">162.</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94"/>
    <w:bookmarkStart w:id="395" w:name="ref-carneiro2020"/>
    <w:p>
      <w:pPr>
        <w:pStyle w:val="Bibliography"/>
      </w:pPr>
      <w:r>
        <w:t xml:space="preserve">163.</w:t>
      </w:r>
      <w:r>
        <w:t xml:space="preserve"> </w:t>
      </w:r>
      <w:r>
        <w:t xml:space="preserve">	</w:t>
      </w:r>
      <w:r>
        <w:t xml:space="preserve">Carneiro, C. F. D.</w:t>
      </w:r>
      <w:r>
        <w:t xml:space="preserve"> </w:t>
      </w:r>
      <w:r>
        <w:rPr>
          <w:iCs/>
          <w:i/>
        </w:rPr>
        <w:t xml:space="preserve">et al.</w:t>
      </w:r>
      <w:r>
        <w:t xml:space="preserve"> Comparing quality of reporting between preprints and peer-reviewed articles in the biomedical literature.</w:t>
      </w:r>
      <w:r>
        <w:t xml:space="preserve"> </w:t>
      </w:r>
      <w:r>
        <w:rPr>
          <w:iCs/>
          <w:i/>
        </w:rPr>
        <w:t xml:space="preserve">Research Integrity and Peer Review</w:t>
      </w:r>
      <w:r>
        <w:t xml:space="preserve"> </w:t>
      </w:r>
      <w:r>
        <w:rPr>
          <w:bCs/>
          <w:b/>
        </w:rPr>
        <w:t xml:space="preserve">5</w:t>
      </w:r>
      <w:r>
        <w:t xml:space="preserve">, 16 (2020).</w:t>
      </w:r>
    </w:p>
    <w:bookmarkEnd w:id="395"/>
    <w:bookmarkStart w:id="396" w:name="ref-hunter2012"/>
    <w:p>
      <w:pPr>
        <w:pStyle w:val="Bibliography"/>
      </w:pPr>
      <w:r>
        <w:t xml:space="preserve">164.</w:t>
      </w:r>
      <w:r>
        <w:t xml:space="preserve"> </w:t>
      </w:r>
      <w:r>
        <w:t xml:space="preserve">	</w:t>
      </w:r>
      <w:r>
        <w:t xml:space="preserve">Hunter, J. Post-</w:t>
      </w:r>
      <w:r>
        <w:t xml:space="preserve">Publication Peer Review</w:t>
      </w:r>
      <w:r>
        <w:t xml:space="preserve">:</w:t>
      </w:r>
      <w:r>
        <w:t xml:space="preserve"> </w:t>
      </w:r>
      <w:r>
        <w:t xml:space="preserve">Opening Up Scientific Conversation</w:t>
      </w:r>
      <w:r>
        <w:t xml:space="preserve">.</w:t>
      </w:r>
      <w:r>
        <w:t xml:space="preserve"> </w:t>
      </w:r>
      <w:r>
        <w:rPr>
          <w:iCs/>
          <w:i/>
        </w:rPr>
        <w:t xml:space="preserve">Frontiers in Computational Neuroscience</w:t>
      </w:r>
      <w:r>
        <w:t xml:space="preserve"> </w:t>
      </w:r>
      <w:r>
        <w:rPr>
          <w:bCs/>
          <w:b/>
        </w:rPr>
        <w:t xml:space="preserve">6</w:t>
      </w:r>
      <w:r>
        <w:t xml:space="preserve">, (2012).</w:t>
      </w:r>
    </w:p>
    <w:bookmarkEnd w:id="396"/>
    <w:bookmarkStart w:id="397" w:name="ref-hsieh2019"/>
    <w:p>
      <w:pPr>
        <w:pStyle w:val="Bibliography"/>
      </w:pPr>
      <w:r>
        <w:t xml:space="preserve">165.</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397"/>
    <w:bookmarkStart w:id="398" w:name="ref-mcguinness2019d"/>
    <w:p>
      <w:pPr>
        <w:pStyle w:val="Bibliography"/>
      </w:pPr>
      <w:r>
        <w:t xml:space="preserve">166.</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398"/>
    <w:bookmarkStart w:id="399" w:name="ref-wilkinson2018b"/>
    <w:p>
      <w:pPr>
        <w:pStyle w:val="Bibliography"/>
      </w:pPr>
      <w:r>
        <w:t xml:space="preserve">167.</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399"/>
    <w:bookmarkStart w:id="400" w:name="ref-yang2020"/>
    <w:p>
      <w:pPr>
        <w:pStyle w:val="Bibliography"/>
      </w:pPr>
      <w:r>
        <w:t xml:space="preserve">168.</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w:t>
      </w:r>
      <w:r>
        <w:t xml:space="preserve"> </w:t>
      </w:r>
      <w:r>
        <w:t xml:space="preserve">A</w:t>
      </w:r>
      <w:r>
        <w:t xml:space="preserve"> </w:t>
      </w:r>
      <w:r>
        <w:t xml:space="preserve">systematic review and meta-analysis.</w:t>
      </w:r>
      <w:r>
        <w:t xml:space="preserve"> </w:t>
      </w:r>
      <w:r>
        <w:rPr>
          <w:iCs/>
          <w:i/>
        </w:rPr>
        <w:t xml:space="preserve">Ageing Research Reviews</w:t>
      </w:r>
      <w:r>
        <w:t xml:space="preserve"> </w:t>
      </w:r>
      <w:r>
        <w:rPr>
          <w:bCs/>
          <w:b/>
        </w:rPr>
        <w:t xml:space="preserve">57</w:t>
      </w:r>
      <w:r>
        <w:t xml:space="preserve">, 100962 (2020).</w:t>
      </w:r>
    </w:p>
    <w:bookmarkEnd w:id="400"/>
    <w:bookmarkStart w:id="402" w:name="ref-muangpaisan2010"/>
    <w:p>
      <w:pPr>
        <w:pStyle w:val="Bibliography"/>
      </w:pPr>
      <w:r>
        <w:t xml:space="preserve">169.</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401">
        <w:r>
          <w:rPr>
            <w:rStyle w:val="Hyperlink"/>
          </w:rPr>
          <w:t xml:space="preserve">10.1111/j.1447-0594.2009.00579.x</w:t>
        </w:r>
      </w:hyperlink>
    </w:p>
    <w:bookmarkEnd w:id="402"/>
    <w:bookmarkStart w:id="403" w:name="ref-poly2020b"/>
    <w:p>
      <w:pPr>
        <w:pStyle w:val="Bibliography"/>
      </w:pPr>
      <w:r>
        <w:t xml:space="preserve">170.</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403"/>
    <w:bookmarkStart w:id="404" w:name="ref-larsson2017b"/>
    <w:p>
      <w:pPr>
        <w:pStyle w:val="Bibliography"/>
      </w:pPr>
      <w:r>
        <w:t xml:space="preserve">171.</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404"/>
    <w:bookmarkStart w:id="405" w:name="ref-walker2016a"/>
    <w:p>
      <w:pPr>
        <w:pStyle w:val="Bibliography"/>
      </w:pPr>
      <w:r>
        <w:t xml:space="preserve">172.</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Alzheimers</w:t>
      </w:r>
      <w:r>
        <w:t xml:space="preserve"> </w:t>
      </w:r>
      <w:r>
        <w:t xml:space="preserve">and other neurodegenerative diseases?</w:t>
      </w:r>
      <w:r>
        <w:t xml:space="preserve"> </w:t>
      </w:r>
      <w:r>
        <w:t xml:space="preserve">Protocol</w:t>
      </w:r>
      <w:r>
        <w:t xml:space="preserve"> </w:t>
      </w:r>
      <w:r>
        <w:t xml:space="preserve">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405"/>
    <w:bookmarkStart w:id="406" w:name="ref-vonelm2008"/>
    <w:p>
      <w:pPr>
        <w:pStyle w:val="Bibliography"/>
      </w:pPr>
      <w:r>
        <w:t xml:space="preserve">173.</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406"/>
    <w:bookmarkStart w:id="407" w:name="ref-herrett2015"/>
    <w:p>
      <w:pPr>
        <w:pStyle w:val="Bibliography"/>
      </w:pPr>
      <w:r>
        <w:t xml:space="preserve">174.</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w:t>
      </w:r>
      <w:r>
        <w:t xml:space="preserve"> </w:t>
      </w:r>
      <w:r>
        <w:t xml:space="preserve">Clinical 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407"/>
    <w:bookmarkStart w:id="408" w:name="ref-williams2012"/>
    <w:p>
      <w:pPr>
        <w:pStyle w:val="Bibliography"/>
      </w:pPr>
      <w:r>
        <w:t xml:space="preserve">175.</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408"/>
    <w:bookmarkStart w:id="409" w:name="ref-wood2001revitalizing"/>
    <w:p>
      <w:pPr>
        <w:pStyle w:val="Bibliography"/>
      </w:pPr>
      <w:r>
        <w:t xml:space="preserve">176.</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409"/>
    <w:bookmarkStart w:id="410" w:name="ref-mathur2014"/>
    <w:p>
      <w:pPr>
        <w:pStyle w:val="Bibliography"/>
      </w:pPr>
      <w:r>
        <w:t xml:space="preserve">177.</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410"/>
    <w:bookmarkStart w:id="411" w:name="ref-booth1994"/>
    <w:p>
      <w:pPr>
        <w:pStyle w:val="Bibliography"/>
      </w:pPr>
      <w:r>
        <w:t xml:space="preserve">178.</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411"/>
    <w:bookmarkStart w:id="412" w:name="ref-wolf2019"/>
    <w:p>
      <w:pPr>
        <w:pStyle w:val="Bibliography"/>
      </w:pPr>
      <w:r>
        <w:t xml:space="preserve">179.</w:t>
      </w:r>
      <w:r>
        <w:t xml:space="preserve"> </w:t>
      </w:r>
      <w:r>
        <w:t xml:space="preserve">	</w:t>
      </w:r>
      <w:r>
        <w:t xml:space="preserve">Wolf, A.</w:t>
      </w:r>
      <w:r>
        <w:t xml:space="preserve"> </w:t>
      </w:r>
      <w:r>
        <w:rPr>
          <w:iCs/>
          <w:i/>
        </w:rPr>
        <w:t xml:space="preserve">et al.</w:t>
      </w:r>
      <w:r>
        <w:t xml:space="preserve"> Data resource profile:</w:t>
      </w:r>
      <w:r>
        <w:t xml:space="preserve"> </w:t>
      </w:r>
      <w:r>
        <w:t xml:space="preserve">Clinical 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412"/>
    <w:bookmarkStart w:id="413" w:name="ref-wishart2017"/>
    <w:p>
      <w:pPr>
        <w:pStyle w:val="Bibliography"/>
      </w:pPr>
      <w:r>
        <w:t xml:space="preserve">180.</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413"/>
    <w:bookmarkStart w:id="414" w:name="ref-charlson1987new"/>
    <w:p>
      <w:pPr>
        <w:pStyle w:val="Bibliography"/>
      </w:pPr>
      <w:r>
        <w:t xml:space="preserve">181.</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414"/>
    <w:bookmarkStart w:id="415" w:name="ref-wells2013strategies"/>
    <w:p>
      <w:pPr>
        <w:pStyle w:val="Bibliography"/>
      </w:pPr>
      <w:r>
        <w:t xml:space="preserve">182.</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415"/>
    <w:bookmarkStart w:id="416" w:name="ref-sterne2009a"/>
    <w:p>
      <w:pPr>
        <w:pStyle w:val="Bibliography"/>
      </w:pPr>
      <w:r>
        <w:t xml:space="preserve">183.</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16"/>
    <w:bookmarkStart w:id="417" w:name="ref-moons2006using"/>
    <w:p>
      <w:pPr>
        <w:pStyle w:val="Bibliography"/>
      </w:pPr>
      <w:r>
        <w:t xml:space="preserve">184.</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417"/>
    <w:bookmarkStart w:id="418" w:name="ref-pigott2001review"/>
    <w:p>
      <w:pPr>
        <w:pStyle w:val="Bibliography"/>
      </w:pPr>
      <w:r>
        <w:t xml:space="preserve">185.</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418"/>
    <w:bookmarkStart w:id="419" w:name="ref-hughes2019a"/>
    <w:p>
      <w:pPr>
        <w:pStyle w:val="Bibliography"/>
      </w:pPr>
      <w:r>
        <w:t xml:space="preserve">186.</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419"/>
    <w:bookmarkStart w:id="420" w:name="ref-levesque2010a"/>
    <w:p>
      <w:pPr>
        <w:pStyle w:val="Bibliography"/>
      </w:pPr>
      <w:r>
        <w:t xml:space="preserve">187.</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420"/>
    <w:bookmarkStart w:id="421" w:name="ref-levesque2010"/>
    <w:p>
      <w:pPr>
        <w:pStyle w:val="Bibliography"/>
      </w:pPr>
      <w:r>
        <w:t xml:space="preserve">188.</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(2010).</w:t>
      </w:r>
    </w:p>
    <w:bookmarkEnd w:id="421"/>
    <w:bookmarkStart w:id="422" w:name="ref-lamarca1998"/>
    <w:p>
      <w:pPr>
        <w:pStyle w:val="Bibliography"/>
      </w:pPr>
      <w:r>
        <w:t xml:space="preserve">189.</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w:t>
      </w:r>
      <w:r>
        <w:t xml:space="preserve"> </w:t>
      </w:r>
      <w:r>
        <w:t xml:space="preserve">An 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422"/>
    <w:bookmarkStart w:id="423" w:name="ref-gail2009"/>
    <w:p>
      <w:pPr>
        <w:pStyle w:val="Bibliography"/>
      </w:pPr>
      <w:r>
        <w:t xml:space="preserve">190.</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423"/>
    <w:bookmarkStart w:id="424" w:name="ref-pencina2007"/>
    <w:p>
      <w:pPr>
        <w:pStyle w:val="Bibliography"/>
      </w:pPr>
      <w:r>
        <w:t xml:space="preserve">191.</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424"/>
    <w:bookmarkStart w:id="425" w:name="ref-lipsitch2010"/>
    <w:p>
      <w:pPr>
        <w:pStyle w:val="Bibliography"/>
      </w:pPr>
      <w:r>
        <w:t xml:space="preserve">192.</w:t>
      </w:r>
      <w:r>
        <w:t xml:space="preserve"> </w:t>
      </w:r>
      <w:r>
        <w:t xml:space="preserve">	</w:t>
      </w:r>
      <w:r>
        <w:t xml:space="preserve">Lipsitch, M., Tchetgen, E. T. &amp; Cohen, T. Negative</w:t>
      </w:r>
      <w:r>
        <w:t xml:space="preserve"> </w:t>
      </w:r>
      <w:r>
        <w:t xml:space="preserve">Controls</w:t>
      </w:r>
      <w:r>
        <w:t xml:space="preserve">:</w:t>
      </w:r>
      <w:r>
        <w:t xml:space="preserve"> </w:t>
      </w:r>
      <w:r>
        <w:t xml:space="preserve">A 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425"/>
    <w:bookmarkStart w:id="426" w:name="ref-selva-ocallaghan2018"/>
    <w:p>
      <w:pPr>
        <w:pStyle w:val="Bibliography"/>
      </w:pPr>
      <w:r>
        <w:t xml:space="preserve">193.</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426"/>
    <w:bookmarkStart w:id="427" w:name="ref-herrett2021"/>
    <w:p>
      <w:pPr>
        <w:pStyle w:val="Bibliography"/>
      </w:pPr>
      <w:r>
        <w:t xml:space="preserve">194.</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427"/>
    <w:bookmarkStart w:id="428" w:name="ref-karalis2016"/>
    <w:p>
      <w:pPr>
        <w:pStyle w:val="Bibliography"/>
      </w:pPr>
      <w:r>
        <w:t xml:space="preserve">195.</w:t>
      </w:r>
      <w:r>
        <w:t xml:space="preserve"> </w:t>
      </w:r>
      <w:r>
        <w:t xml:space="preserve">	</w:t>
      </w:r>
      <w:r>
        <w:t xml:space="preserve">Karalis, D. G., Hill, A. N., Clifton, S. &amp; Wild, R. A. The risks of statin use in pregnancy:</w:t>
      </w:r>
      <w:r>
        <w:t xml:space="preserve"> </w:t>
      </w:r>
      <w:r>
        <w:t xml:space="preserve">A</w:t>
      </w:r>
      <w:r>
        <w:t xml:space="preserve"> </w:t>
      </w:r>
      <w:r>
        <w:t xml:space="preserve">systematic review.</w:t>
      </w:r>
      <w:r>
        <w:t xml:space="preserve"> </w:t>
      </w:r>
      <w:r>
        <w:rPr>
          <w:iCs/>
          <w:i/>
        </w:rPr>
        <w:t xml:space="preserve">Journal of Clinical Lipidology</w:t>
      </w:r>
      <w:r>
        <w:t xml:space="preserve"> </w:t>
      </w:r>
      <w:r>
        <w:rPr>
          <w:bCs/>
          <w:b/>
        </w:rPr>
        <w:t xml:space="preserve">10</w:t>
      </w:r>
      <w:r>
        <w:t xml:space="preserve">, 1081–1090 (2016 Sep-Oct).</w:t>
      </w:r>
    </w:p>
    <w:bookmarkEnd w:id="428"/>
    <w:bookmarkStart w:id="429" w:name="ref-smeeth2009"/>
    <w:p>
      <w:pPr>
        <w:pStyle w:val="Bibliography"/>
      </w:pPr>
      <w:r>
        <w:t xml:space="preserve">196.</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429"/>
    <w:bookmarkStart w:id="430" w:name="ref-sterne2009b"/>
    <w:p>
      <w:pPr>
        <w:pStyle w:val="Bibliography"/>
      </w:pPr>
      <w:r>
        <w:t xml:space="preserve">197.</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30"/>
    <w:bookmarkStart w:id="431" w:name="ref-salas1999"/>
    <w:p>
      <w:pPr>
        <w:pStyle w:val="Bibliography"/>
      </w:pPr>
      <w:r>
        <w:t xml:space="preserve">198.</w:t>
      </w:r>
      <w:r>
        <w:t xml:space="preserve"> </w:t>
      </w:r>
      <w:r>
        <w:t xml:space="preserve">	</w:t>
      </w:r>
      <w:r>
        <w:t xml:space="preserve">Salas, M., Hotman, A. &amp; Stricker, B. H. Confounding by</w:t>
      </w:r>
      <w:r>
        <w:t xml:space="preserve"> </w:t>
      </w:r>
      <w:r>
        <w:t xml:space="preserve">Indication</w:t>
      </w:r>
      <w:r>
        <w:t xml:space="preserve">:</w:t>
      </w:r>
      <w:r>
        <w:t xml:space="preserve"> </w:t>
      </w:r>
      <w:r>
        <w:t xml:space="preserve">An 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431"/>
    <w:bookmarkStart w:id="432" w:name="ref-suttorp2015"/>
    <w:p>
      <w:pPr>
        <w:pStyle w:val="Bibliography"/>
      </w:pPr>
      <w:r>
        <w:t xml:space="preserve">199.</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432"/>
    <w:bookmarkStart w:id="433" w:name="ref-danaei2013b"/>
    <w:p>
      <w:pPr>
        <w:pStyle w:val="Bibliography"/>
      </w:pPr>
      <w:r>
        <w:t xml:space="preserve">200.</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433"/>
    <w:bookmarkStart w:id="435" w:name="ref-korologou-linden2020"/>
    <w:p>
      <w:pPr>
        <w:pStyle w:val="Bibliography"/>
      </w:pPr>
      <w:r>
        <w:t xml:space="preserve">201.</w:t>
      </w:r>
      <w:r>
        <w:t xml:space="preserve"> </w:t>
      </w:r>
      <w:r>
        <w:t xml:space="preserve">	</w:t>
      </w:r>
      <w:r>
        <w:t xml:space="preserve">Korologou-Linden, R.</w:t>
      </w:r>
      <w:r>
        <w:t xml:space="preserve"> </w:t>
      </w:r>
      <w:r>
        <w:rPr>
          <w:iCs/>
          <w:i/>
        </w:rPr>
        <w:t xml:space="preserve">et al.</w:t>
      </w:r>
      <w:r>
        <w:t xml:space="preserve"> The causes and consequences of</w:t>
      </w:r>
      <w:r>
        <w:t xml:space="preserve"> </w:t>
      </w:r>
      <w:r>
        <w:t xml:space="preserve">Alzheimer</w:t>
      </w:r>
      <w:r>
        <w:t xml:space="preserve">’s disease: Phenome-wide evidence from</w:t>
      </w:r>
      <w:r>
        <w:t xml:space="preserve"> </w:t>
      </w:r>
      <w:r>
        <w:t xml:space="preserve">Mendelian</w:t>
      </w:r>
      <w:r>
        <w:t xml:space="preserve"> </w:t>
      </w:r>
      <w:r>
        <w:t xml:space="preserve">randomization.</w:t>
      </w:r>
      <w:r>
        <w:t xml:space="preserve"> </w:t>
      </w:r>
      <w:r>
        <w:rPr>
          <w:iCs/>
          <w:i/>
        </w:rPr>
        <w:t xml:space="preserve">medRxiv</w:t>
      </w:r>
      <w:r>
        <w:t xml:space="preserve"> </w:t>
      </w:r>
      <w:r>
        <w:t xml:space="preserve">2019.12.18.19013847 (2020). doi:</w:t>
      </w:r>
      <w:hyperlink r:id="rId434">
        <w:r>
          <w:rPr>
            <w:rStyle w:val="Hyperlink"/>
          </w:rPr>
          <w:t xml:space="preserve">10.1101/2019.12.18.19013847</w:t>
        </w:r>
      </w:hyperlink>
    </w:p>
    <w:bookmarkEnd w:id="435"/>
    <w:bookmarkStart w:id="436" w:name="ref-porta2014dictionary"/>
    <w:p>
      <w:pPr>
        <w:pStyle w:val="Bibliography"/>
      </w:pPr>
      <w:r>
        <w:t xml:space="preserve">202.</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436"/>
    <w:bookmarkStart w:id="437" w:name="ref-wilkinson2018"/>
    <w:p>
      <w:pPr>
        <w:pStyle w:val="Bibliography"/>
      </w:pPr>
      <w:r>
        <w:t xml:space="preserve">203.</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437"/>
    <w:bookmarkStart w:id="438" w:name="ref-mcguinness2019b"/>
    <w:p>
      <w:pPr>
        <w:pStyle w:val="Bibliography"/>
      </w:pPr>
      <w:r>
        <w:t xml:space="preserve">204.</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438"/>
    <w:bookmarkStart w:id="439" w:name="ref-goldacre2019c"/>
    <w:p>
      <w:pPr>
        <w:pStyle w:val="Bibliography"/>
      </w:pPr>
      <w:r>
        <w:t xml:space="preserve">205.</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439"/>
    <w:bookmarkStart w:id="440" w:name="ref-vandenbroucke2007"/>
    <w:p>
      <w:pPr>
        <w:pStyle w:val="Bibliography"/>
      </w:pPr>
      <w:r>
        <w:t xml:space="preserve">206.</w:t>
      </w:r>
      <w:r>
        <w:t xml:space="preserve"> </w:t>
      </w:r>
      <w:r>
        <w:t xml:space="preserve">	</w:t>
      </w:r>
      <w:r>
        <w:t xml:space="preserve">Vandenbroucke, J. P.</w:t>
      </w:r>
      <w:r>
        <w:t xml:space="preserve"> </w:t>
      </w:r>
      <w:r>
        <w:rPr>
          <w:iCs/>
          <w:i/>
        </w:rPr>
        <w:t xml:space="preserve">et al.</w:t>
      </w:r>
      <w:r>
        <w:t xml:space="preserve"> Strengthening 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w:t>
      </w:r>
      <w:r>
        <w:t xml:space="preserve"> </w:t>
      </w:r>
      <w:r>
        <w:t xml:space="preserve">Explanation</w:t>
      </w:r>
      <w:r>
        <w:t xml:space="preserve"> </w:t>
      </w:r>
      <w:r>
        <w:t xml:space="preserve">and</w:t>
      </w:r>
      <w:r>
        <w:t xml:space="preserve"> </w:t>
      </w:r>
      <w:r>
        <w:t xml:space="preserve">Elaboration</w:t>
      </w:r>
      <w:r>
        <w:t xml:space="preserve">.</w:t>
      </w:r>
      <w:r>
        <w:t xml:space="preserve"> </w:t>
      </w:r>
      <w:r>
        <w:rPr>
          <w:iCs/>
          <w:i/>
        </w:rPr>
        <w:t xml:space="preserve">PLOS Medicine</w:t>
      </w:r>
      <w:r>
        <w:t xml:space="preserve"> </w:t>
      </w:r>
      <w:r>
        <w:rPr>
          <w:bCs/>
          <w:b/>
        </w:rPr>
        <w:t xml:space="preserve">4</w:t>
      </w:r>
      <w:r>
        <w:t xml:space="preserve">, e297 (2007).</w:t>
      </w:r>
    </w:p>
    <w:bookmarkEnd w:id="440"/>
    <w:bookmarkStart w:id="441" w:name="ref-riboli1997"/>
    <w:p>
      <w:pPr>
        <w:pStyle w:val="Bibliography"/>
      </w:pPr>
      <w:r>
        <w:t xml:space="preserve">207.</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441"/>
    <w:bookmarkStart w:id="442" w:name="ref-riboli2002"/>
    <w:p>
      <w:pPr>
        <w:pStyle w:val="Bibliography"/>
      </w:pPr>
      <w:r>
        <w:t xml:space="preserve">208.</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442"/>
    <w:bookmarkStart w:id="443" w:name="ref-fisher2017"/>
    <w:p>
      <w:pPr>
        <w:pStyle w:val="Bibliography"/>
      </w:pPr>
      <w:r>
        <w:t xml:space="preserve">209.</w:t>
      </w:r>
      <w:r>
        <w:t xml:space="preserve"> </w:t>
      </w:r>
      <w:r>
        <w:t xml:space="preserve">	</w:t>
      </w:r>
      <w:r>
        <w:t xml:space="preserve">Fisher, D. J., Carpenter, J. R., Morris, T. P., Freeman, S. C. &amp; Tierney, J. F. Meta-analytical methods to identify who benefits most from treatments: Daft, deluded, or deft approach?</w:t>
      </w:r>
      <w:r>
        <w:t xml:space="preserve"> </w:t>
      </w:r>
      <w:r>
        <w:rPr>
          <w:iCs/>
          <w:i/>
        </w:rPr>
        <w:t xml:space="preserve">BMJ</w:t>
      </w:r>
      <w:r>
        <w:t xml:space="preserve"> </w:t>
      </w:r>
      <w:r>
        <w:rPr>
          <w:bCs/>
          <w:b/>
        </w:rPr>
        <w:t xml:space="preserve">356</w:t>
      </w:r>
      <w:r>
        <w:t xml:space="preserve">, j573 (2017).</w:t>
      </w:r>
    </w:p>
    <w:bookmarkEnd w:id="443"/>
    <w:bookmarkStart w:id="444" w:name="ref-yusuf1984"/>
    <w:p>
      <w:pPr>
        <w:pStyle w:val="Bibliography"/>
      </w:pPr>
      <w:r>
        <w:t xml:space="preserve">210.</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444"/>
    <w:bookmarkStart w:id="445" w:name="ref-base"/>
    <w:p>
      <w:pPr>
        <w:pStyle w:val="Bibliography"/>
      </w:pPr>
      <w:r>
        <w:t xml:space="preserve">211.</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45"/>
    <w:bookmarkStart w:id="446" w:name="ref-cranlogs"/>
    <w:p>
      <w:pPr>
        <w:pStyle w:val="Bibliography"/>
      </w:pPr>
      <w:r>
        <w:t xml:space="preserve">212.</w:t>
      </w:r>
      <w:r>
        <w:t xml:space="preserve"> </w:t>
      </w:r>
      <w:r>
        <w:t xml:space="preserve">	</w:t>
      </w:r>
      <w:r>
        <w:t xml:space="preserve">Csárdi, G.</w:t>
      </w:r>
      <w:r>
        <w:t xml:space="preserve"> </w:t>
      </w:r>
      <w:r>
        <w:rPr>
          <w:iCs/>
          <w:i/>
        </w:rPr>
        <w:t xml:space="preserve">Cranlogs:</w:t>
      </w:r>
      <w:r>
        <w:rPr>
          <w:iCs/>
          <w:i/>
        </w:rPr>
        <w:t xml:space="preserve"> </w:t>
      </w:r>
      <w:r>
        <w:rPr>
          <w:iCs/>
          <w:i/>
        </w:rPr>
        <w:t xml:space="preserve">Download</w:t>
      </w:r>
      <w:r>
        <w:rPr>
          <w:iCs/>
          <w:i/>
        </w:rPr>
        <w:t xml:space="preserve"> </w:t>
      </w:r>
      <w:r>
        <w:rPr>
          <w:iCs/>
          <w:i/>
        </w:rPr>
        <w:t xml:space="preserve">logs from the ’</w:t>
      </w:r>
      <w:r>
        <w:rPr>
          <w:iCs/>
          <w:i/>
        </w:rPr>
        <w:t xml:space="preserve">RStudio</w:t>
      </w:r>
      <w:r>
        <w:rPr>
          <w:iCs/>
          <w:i/>
        </w:rPr>
        <w:t xml:space="preserve">’ ’</w:t>
      </w:r>
      <w:r>
        <w:rPr>
          <w:iCs/>
          <w:i/>
        </w:rPr>
        <w:t xml:space="preserve">CRAN</w:t>
      </w:r>
      <w:r>
        <w:rPr>
          <w:iCs/>
          <w:i/>
        </w:rPr>
        <w:t xml:space="preserve">’ mirror</w:t>
      </w:r>
      <w:r>
        <w:t xml:space="preserve">. (2019).</w:t>
      </w:r>
    </w:p>
    <w:bookmarkEnd w:id="446"/>
    <w:bookmarkStart w:id="447" w:name="ref-dplyr"/>
    <w:p>
      <w:pPr>
        <w:pStyle w:val="Bibliography"/>
      </w:pPr>
      <w:r>
        <w:t xml:space="preserve">213.</w:t>
      </w:r>
      <w:r>
        <w:t xml:space="preserve"> </w:t>
      </w:r>
      <w:r>
        <w:t xml:space="preserve">	</w:t>
      </w:r>
      <w:r>
        <w:t xml:space="preserve">Wickham, H., François, R., Henry, L. &amp; Müller, K.</w:t>
      </w:r>
      <w:r>
        <w:t xml:space="preserve"> </w:t>
      </w:r>
      <w:r>
        <w:rPr>
          <w:iCs/>
          <w:i/>
        </w:rPr>
        <w:t xml:space="preserve">Dplyr:</w:t>
      </w:r>
      <w:r>
        <w:rPr>
          <w:iCs/>
          <w:i/>
        </w:rPr>
        <w:t xml:space="preserve"> </w:t>
      </w:r>
      <w:r>
        <w:rPr>
          <w:iCs/>
          <w:i/>
        </w:rPr>
        <w:t xml:space="preserve">A</w:t>
      </w:r>
      <w:r>
        <w:rPr>
          <w:iCs/>
          <w:i/>
        </w:rPr>
        <w:t xml:space="preserve"> </w:t>
      </w:r>
      <w:r>
        <w:rPr>
          <w:iCs/>
          <w:i/>
        </w:rPr>
        <w:t xml:space="preserve">grammar of data manipulation</w:t>
      </w:r>
      <w:r>
        <w:t xml:space="preserve">. (2020).</w:t>
      </w:r>
    </w:p>
    <w:bookmarkEnd w:id="447"/>
    <w:bookmarkStart w:id="448" w:name="ref-flextable"/>
    <w:p>
      <w:pPr>
        <w:pStyle w:val="Bibliography"/>
      </w:pPr>
      <w:r>
        <w:t xml:space="preserve">214.</w:t>
      </w:r>
      <w:r>
        <w:t xml:space="preserve"> </w:t>
      </w:r>
      <w:r>
        <w:t xml:space="preserve">	</w:t>
      </w:r>
      <w:r>
        <w:t xml:space="preserve">Gohel, D.</w:t>
      </w:r>
      <w:r>
        <w:t xml:space="preserve"> </w:t>
      </w:r>
      <w:r>
        <w:rPr>
          <w:iCs/>
          <w:i/>
        </w:rPr>
        <w:t xml:space="preserve">Flextable:</w:t>
      </w:r>
      <w:r>
        <w:rPr>
          <w:iCs/>
          <w:i/>
        </w:rPr>
        <w:t xml:space="preserve"> </w:t>
      </w:r>
      <w:r>
        <w:rPr>
          <w:iCs/>
          <w:i/>
        </w:rPr>
        <w:t xml:space="preserve">Functions</w:t>
      </w:r>
      <w:r>
        <w:rPr>
          <w:iCs/>
          <w:i/>
        </w:rPr>
        <w:t xml:space="preserve"> </w:t>
      </w:r>
      <w:r>
        <w:rPr>
          <w:iCs/>
          <w:i/>
        </w:rPr>
        <w:t xml:space="preserve">for tabular reporting</w:t>
      </w:r>
      <w:r>
        <w:t xml:space="preserve">. (2020).</w:t>
      </w:r>
    </w:p>
    <w:bookmarkEnd w:id="448"/>
    <w:bookmarkStart w:id="449" w:name="ref-ggplot2"/>
    <w:p>
      <w:pPr>
        <w:pStyle w:val="Bibliography"/>
      </w:pPr>
      <w:r>
        <w:t xml:space="preserve">215.</w:t>
      </w:r>
      <w:r>
        <w:t xml:space="preserve"> </w:t>
      </w:r>
      <w:r>
        <w:t xml:space="preserve">	</w:t>
      </w:r>
      <w:r>
        <w:t xml:space="preserve">Wickham, H.</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 (</w:t>
      </w:r>
      <w:r>
        <w:t xml:space="preserve">Springer-Verlag New York</w:t>
      </w:r>
      <w:r>
        <w:t xml:space="preserve">, 2016).</w:t>
      </w:r>
    </w:p>
    <w:bookmarkEnd w:id="449"/>
    <w:bookmarkStart w:id="450" w:name="ref-glue"/>
    <w:p>
      <w:pPr>
        <w:pStyle w:val="Bibliography"/>
      </w:pPr>
      <w:r>
        <w:t xml:space="preserve">216.</w:t>
      </w:r>
      <w:r>
        <w:t xml:space="preserve"> </w:t>
      </w:r>
      <w:r>
        <w:t xml:space="preserve">	</w:t>
      </w:r>
      <w:r>
        <w:t xml:space="preserve">Hester, J.</w:t>
      </w:r>
      <w:r>
        <w:t xml:space="preserve"> </w:t>
      </w:r>
      <w:r>
        <w:rPr>
          <w:iCs/>
          <w:i/>
        </w:rPr>
        <w:t xml:space="preserve">Glue:</w:t>
      </w:r>
      <w:r>
        <w:rPr>
          <w:iCs/>
          <w:i/>
        </w:rPr>
        <w:t xml:space="preserve"> </w:t>
      </w:r>
      <w:r>
        <w:rPr>
          <w:iCs/>
          <w:i/>
        </w:rPr>
        <w:t xml:space="preserve">Interpreted</w:t>
      </w:r>
      <w:r>
        <w:rPr>
          <w:iCs/>
          <w:i/>
        </w:rPr>
        <w:t xml:space="preserve"> </w:t>
      </w:r>
      <w:r>
        <w:rPr>
          <w:iCs/>
          <w:i/>
        </w:rPr>
        <w:t xml:space="preserve">string literals</w:t>
      </w:r>
      <w:r>
        <w:t xml:space="preserve">. (2020).</w:t>
      </w:r>
    </w:p>
    <w:bookmarkEnd w:id="450"/>
    <w:bookmarkStart w:id="451" w:name="ref-gt"/>
    <w:p>
      <w:pPr>
        <w:pStyle w:val="Bibliography"/>
      </w:pPr>
      <w:r>
        <w:t xml:space="preserve">217.</w:t>
      </w:r>
      <w:r>
        <w:t xml:space="preserve"> </w:t>
      </w:r>
      <w:r>
        <w:t xml:space="preserve">	</w:t>
      </w:r>
      <w:r>
        <w:t xml:space="preserve">Iannone, R., Cheng, J. &amp; Schloerke, B.</w:t>
      </w:r>
      <w:r>
        <w:t xml:space="preserve"> </w:t>
      </w:r>
      <w:r>
        <w:rPr>
          <w:iCs/>
          <w:i/>
        </w:rPr>
        <w:t xml:space="preserve">Gt:</w:t>
      </w:r>
      <w:r>
        <w:rPr>
          <w:iCs/>
          <w:i/>
        </w:rPr>
        <w:t xml:space="preserve"> </w:t>
      </w:r>
      <w:r>
        <w:rPr>
          <w:iCs/>
          <w:i/>
        </w:rPr>
        <w:t xml:space="preserve">Easily</w:t>
      </w:r>
      <w:r>
        <w:rPr>
          <w:iCs/>
          <w:i/>
        </w:rPr>
        <w:t xml:space="preserve"> </w:t>
      </w:r>
      <w:r>
        <w:rPr>
          <w:iCs/>
          <w:i/>
        </w:rPr>
        <w:t xml:space="preserve">create presentation-ready display tables</w:t>
      </w:r>
      <w:r>
        <w:t xml:space="preserve">. (2020).</w:t>
      </w:r>
    </w:p>
    <w:bookmarkEnd w:id="451"/>
    <w:bookmarkStart w:id="452" w:name="ref-here"/>
    <w:p>
      <w:pPr>
        <w:pStyle w:val="Bibliography"/>
      </w:pPr>
      <w:r>
        <w:t xml:space="preserve">218.</w:t>
      </w:r>
      <w:r>
        <w:t xml:space="preserve"> </w:t>
      </w:r>
      <w:r>
        <w:t xml:space="preserve">	</w:t>
      </w:r>
      <w:r>
        <w:t xml:space="preserve">Müller, K.</w:t>
      </w:r>
      <w:r>
        <w:t xml:space="preserve"> </w:t>
      </w:r>
      <w:r>
        <w:rPr>
          <w:iCs/>
          <w:i/>
        </w:rPr>
        <w:t xml:space="preserve">Here:</w:t>
      </w:r>
      <w:r>
        <w:rPr>
          <w:iCs/>
          <w:i/>
        </w:rPr>
        <w:t xml:space="preserve"> </w:t>
      </w:r>
      <w:r>
        <w:rPr>
          <w:iCs/>
          <w:i/>
        </w:rPr>
        <w:t xml:space="preserve">A</w:t>
      </w:r>
      <w:r>
        <w:rPr>
          <w:iCs/>
          <w:i/>
        </w:rPr>
        <w:t xml:space="preserve"> </w:t>
      </w:r>
      <w:r>
        <w:rPr>
          <w:iCs/>
          <w:i/>
        </w:rPr>
        <w:t xml:space="preserve">simpler way to find your files</w:t>
      </w:r>
      <w:r>
        <w:t xml:space="preserve">. (2020).</w:t>
      </w:r>
    </w:p>
    <w:bookmarkEnd w:id="452"/>
    <w:bookmarkStart w:id="453" w:name="ref-kableExtra"/>
    <w:p>
      <w:pPr>
        <w:pStyle w:val="Bibliography"/>
      </w:pPr>
      <w:r>
        <w:t xml:space="preserve">219.</w:t>
      </w:r>
      <w:r>
        <w:t xml:space="preserve"> </w:t>
      </w:r>
      <w:r>
        <w:t xml:space="preserve">	</w:t>
      </w:r>
      <w:r>
        <w:t xml:space="preserve">Zhu, H.</w:t>
      </w:r>
      <w:r>
        <w:t xml:space="preserve"> </w:t>
      </w:r>
      <w:r>
        <w:rPr>
          <w:iCs/>
          <w:i/>
        </w:rPr>
        <w:t xml:space="preserve">kableExtra</w:t>
      </w:r>
      <w:r>
        <w:rPr>
          <w:iCs/>
          <w:i/>
        </w:rPr>
        <w:t xml:space="preserve">:</w:t>
      </w:r>
      <w:r>
        <w:rPr>
          <w:iCs/>
          <w:i/>
        </w:rPr>
        <w:t xml:space="preserve"> </w:t>
      </w:r>
      <w:r>
        <w:rPr>
          <w:iCs/>
          <w:i/>
        </w:rPr>
        <w:t xml:space="preserve">Construct</w:t>
      </w:r>
      <w:r>
        <w:rPr>
          <w:iCs/>
          <w:i/>
        </w:rPr>
        <w:t xml:space="preserve"> </w:t>
      </w:r>
      <w:r>
        <w:rPr>
          <w:iCs/>
          <w:i/>
        </w:rPr>
        <w:t xml:space="preserve">complex table with ’kable’ and pipe syntax</w:t>
      </w:r>
      <w:r>
        <w:t xml:space="preserve">. (2020).</w:t>
      </w:r>
    </w:p>
    <w:bookmarkEnd w:id="453"/>
    <w:bookmarkStart w:id="454" w:name="ref-knitr"/>
    <w:p>
      <w:pPr>
        <w:pStyle w:val="Bibliography"/>
      </w:pPr>
      <w:r>
        <w:t xml:space="preserve">220.</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Chapman and Hall/CRC</w:t>
      </w:r>
      <w:r>
        <w:t xml:space="preserve">, 2015).</w:t>
      </w:r>
    </w:p>
    <w:bookmarkEnd w:id="454"/>
    <w:bookmarkStart w:id="455" w:name="ref-medrxivr"/>
    <w:p>
      <w:pPr>
        <w:pStyle w:val="Bibliography"/>
      </w:pPr>
      <w:r>
        <w:t xml:space="preserve">221.</w:t>
      </w:r>
      <w:r>
        <w:t xml:space="preserve"> </w:t>
      </w:r>
      <w:r>
        <w:t xml:space="preserve">	</w:t>
      </w:r>
      <w:r>
        <w:t xml:space="preserve">McGuinness, L. A.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455"/>
    <w:bookmarkStart w:id="456" w:name="ref-plyr"/>
    <w:p>
      <w:pPr>
        <w:pStyle w:val="Bibliography"/>
      </w:pPr>
      <w:r>
        <w:t xml:space="preserve">222.</w:t>
      </w:r>
      <w:r>
        <w:t xml:space="preserve"> </w:t>
      </w:r>
      <w:r>
        <w:t xml:space="preserve">	</w:t>
      </w:r>
      <w:r>
        <w:t xml:space="preserve">Wickham, H. The split-apply-combine strategy for data analysis.</w:t>
      </w:r>
      <w:r>
        <w:t xml:space="preserve"> </w:t>
      </w:r>
      <w:r>
        <w:rPr>
          <w:iCs/>
          <w:i/>
        </w:rPr>
        <w:t xml:space="preserve">Journal of Statistical Software</w:t>
      </w:r>
      <w:r>
        <w:t xml:space="preserve"> </w:t>
      </w:r>
      <w:r>
        <w:rPr>
          <w:bCs/>
          <w:b/>
        </w:rPr>
        <w:t xml:space="preserve">40</w:t>
      </w:r>
      <w:r>
        <w:t xml:space="preserve">, 1–29 (2011).</w:t>
      </w:r>
    </w:p>
    <w:bookmarkEnd w:id="456"/>
    <w:bookmarkStart w:id="457" w:name="ref-robvis"/>
    <w:p>
      <w:pPr>
        <w:pStyle w:val="Bibliography"/>
      </w:pPr>
      <w:r>
        <w:t xml:space="preserve">223.</w:t>
      </w:r>
      <w:r>
        <w:t xml:space="preserve"> </w:t>
      </w:r>
      <w:r>
        <w:t xml:space="preserve">	</w:t>
      </w:r>
      <w:r>
        <w:t xml:space="preserve">McGuinness, L. A. &amp; Higgins, J. P. Risk-of-bias</w:t>
      </w:r>
      <w:r>
        <w:t xml:space="preserve"> </w:t>
      </w:r>
      <w:r>
        <w:t xml:space="preserve">VISualization</w:t>
      </w:r>
      <w:r>
        <w:t xml:space="preserve"> </w:t>
      </w:r>
      <w:r>
        <w:t xml:space="preserve">(robvis):</w:t>
      </w:r>
      <w:r>
        <w:t xml:space="preserve"> </w:t>
      </w:r>
      <w:r>
        <w:t xml:space="preserve">An 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t xml:space="preserve">(2020). doi:</w:t>
      </w:r>
      <w:hyperlink r:id="rId55">
        <w:r>
          <w:rPr>
            <w:rStyle w:val="Hyperlink"/>
          </w:rPr>
          <w:t xml:space="preserve">10.1002/jrsm.1411</w:t>
        </w:r>
      </w:hyperlink>
    </w:p>
    <w:bookmarkEnd w:id="457"/>
    <w:bookmarkStart w:id="458" w:name="ref-stringr"/>
    <w:p>
      <w:pPr>
        <w:pStyle w:val="Bibliography"/>
      </w:pPr>
      <w:r>
        <w:t xml:space="preserve">224.</w:t>
      </w:r>
      <w:r>
        <w:t xml:space="preserve"> </w:t>
      </w:r>
      <w:r>
        <w:t xml:space="preserve">	</w:t>
      </w:r>
      <w:r>
        <w:t xml:space="preserve">Wickham, H.</w:t>
      </w:r>
      <w:r>
        <w:t xml:space="preserve"> </w:t>
      </w:r>
      <w:r>
        <w:rPr>
          <w:iCs/>
          <w:i/>
        </w:rPr>
        <w:t xml:space="preserve">Stringr:</w:t>
      </w:r>
      <w:r>
        <w:rPr>
          <w:iCs/>
          <w:i/>
        </w:rPr>
        <w:t xml:space="preserve"> </w:t>
      </w:r>
      <w:r>
        <w:rPr>
          <w:iCs/>
          <w:i/>
        </w:rPr>
        <w:t xml:space="preserve">Simple</w:t>
      </w:r>
      <w:r>
        <w:rPr>
          <w:iCs/>
          <w:i/>
        </w:rPr>
        <w:t xml:space="preserve">, consistent wrappers for common string operations</w:t>
      </w:r>
      <w:r>
        <w:t xml:space="preserve">. (2019).</w:t>
      </w:r>
    </w:p>
    <w:bookmarkEnd w:id="458"/>
    <w:bookmarkStart w:id="459" w:name="ref-tidyverse"/>
    <w:p>
      <w:pPr>
        <w:pStyle w:val="Bibliography"/>
      </w:pPr>
      <w:r>
        <w:t xml:space="preserve">225.</w:t>
      </w:r>
      <w:r>
        <w:t xml:space="preserve"> </w:t>
      </w:r>
      <w:r>
        <w:t xml:space="preserve">	</w:t>
      </w:r>
      <w:r>
        <w:t xml:space="preserve">Wickham, H.</w:t>
      </w:r>
      <w:r>
        <w:t xml:space="preserve"> </w:t>
      </w:r>
      <w:r>
        <w:rPr>
          <w:iCs/>
          <w:i/>
        </w:rPr>
        <w:t xml:space="preserve">et al.</w:t>
      </w:r>
      <w:r>
        <w:t xml:space="preserve"> Welcome to the</w:t>
      </w:r>
      <w:r>
        <w:t xml:space="preserve"> </w:t>
      </w:r>
      <w:r>
        <w:t xml:space="preserve">tidyverse</w:t>
      </w:r>
      <w:r>
        <w:t xml:space="preserve">.</w:t>
      </w:r>
      <w:r>
        <w:t xml:space="preserve"> </w:t>
      </w:r>
      <w:r>
        <w:rPr>
          <w:iCs/>
          <w:i/>
        </w:rPr>
        <w:t xml:space="preserve">Journal of Open Source Software</w:t>
      </w:r>
      <w:r>
        <w:t xml:space="preserve"> </w:t>
      </w:r>
      <w:r>
        <w:rPr>
          <w:bCs/>
          <w:b/>
        </w:rPr>
        <w:t xml:space="preserve">4</w:t>
      </w:r>
      <w:r>
        <w:t xml:space="preserve">, 1686 (2019).</w:t>
      </w:r>
    </w:p>
    <w:bookmarkEnd w:id="459"/>
    <w:bookmarkStart w:id="460" w:name="ref-wordcountaddin"/>
    <w:p>
      <w:pPr>
        <w:pStyle w:val="Bibliography"/>
      </w:pPr>
      <w:r>
        <w:t xml:space="preserve">226.</w:t>
      </w:r>
      <w:r>
        <w:t xml:space="preserve"> </w:t>
      </w:r>
      <w:r>
        <w:t xml:space="preserve">	</w:t>
      </w:r>
      <w:r>
        <w:t xml:space="preserve">Marwick, B.</w:t>
      </w:r>
      <w:r>
        <w:t xml:space="preserve"> </w:t>
      </w:r>
      <w:r>
        <w:rPr>
          <w:iCs/>
          <w:i/>
        </w:rPr>
        <w:t xml:space="preserve">Wordcountaddin:</w:t>
      </w:r>
      <w:r>
        <w:rPr>
          <w:iCs/>
          <w:i/>
        </w:rPr>
        <w:t xml:space="preserve"> </w:t>
      </w:r>
      <w:r>
        <w:rPr>
          <w:iCs/>
          <w:i/>
        </w:rPr>
        <w:t xml:space="preserve">Word</w:t>
      </w:r>
      <w:r>
        <w:rPr>
          <w:iCs/>
          <w:i/>
        </w:rPr>
        <w:t xml:space="preserve"> </w:t>
      </w:r>
      <w:r>
        <w:rPr>
          <w:iCs/>
          <w:i/>
        </w:rPr>
        <w:t xml:space="preserve">counts and readability statistics in</w:t>
      </w:r>
      <w:r>
        <w:rPr>
          <w:iCs/>
          <w:i/>
        </w:rPr>
        <w:t xml:space="preserve"> </w:t>
      </w:r>
      <w:r>
        <w:rPr>
          <w:iCs/>
          <w:i/>
        </w:rPr>
        <w:t xml:space="preserve">R</w:t>
      </w:r>
      <w:r>
        <w:rPr>
          <w:iCs/>
          <w:i/>
        </w:rPr>
        <w:t xml:space="preserve"> </w:t>
      </w:r>
      <w:r>
        <w:rPr>
          <w:iCs/>
          <w:i/>
        </w:rPr>
        <w:t xml:space="preserve">markdown documents</w:t>
      </w:r>
      <w:r>
        <w:t xml:space="preserve">. (2020).</w:t>
      </w:r>
    </w:p>
    <w:bookmarkEnd w:id="460"/>
    <w:bookmarkStart w:id="461" w:name="ref-xfun"/>
    <w:p>
      <w:pPr>
        <w:pStyle w:val="Bibliography"/>
      </w:pPr>
      <w:r>
        <w:t xml:space="preserve">227.</w:t>
      </w:r>
      <w:r>
        <w:t xml:space="preserve"> </w:t>
      </w:r>
      <w:r>
        <w:t xml:space="preserve">	</w:t>
      </w:r>
      <w:r>
        <w:t xml:space="preserve">Xie, Y.</w:t>
      </w:r>
      <w:r>
        <w:t xml:space="preserve"> </w:t>
      </w:r>
      <w:r>
        <w:rPr>
          <w:iCs/>
          <w:i/>
        </w:rPr>
        <w:t xml:space="preserve">Xfun:</w:t>
      </w:r>
      <w:r>
        <w:rPr>
          <w:iCs/>
          <w:i/>
        </w:rPr>
        <w:t xml:space="preserve"> </w:t>
      </w:r>
      <w:r>
        <w:rPr>
          <w:iCs/>
          <w:i/>
        </w:rPr>
        <w:t xml:space="preserve">Miscellaneous</w:t>
      </w:r>
      <w:r>
        <w:rPr>
          <w:iCs/>
          <w:i/>
        </w:rPr>
        <w:t xml:space="preserve"> </w:t>
      </w:r>
      <w:r>
        <w:rPr>
          <w:iCs/>
          <w:i/>
        </w:rPr>
        <w:t xml:space="preserve">functions by ’</w:t>
      </w:r>
      <w:r>
        <w:rPr>
          <w:iCs/>
          <w:i/>
        </w:rPr>
        <w:t xml:space="preserve">Yihui Xie</w:t>
      </w:r>
      <w:r>
        <w:rPr>
          <w:iCs/>
          <w:i/>
        </w:rPr>
        <w:t xml:space="preserve">’</w:t>
      </w:r>
      <w:r>
        <w:t xml:space="preserve">. (2021).</w:t>
      </w:r>
    </w:p>
    <w:bookmarkEnd w:id="461"/>
    <w:bookmarkStart w:id="462" w:name="ref-wilson2014"/>
    <w:p>
      <w:pPr>
        <w:pStyle w:val="Bibliography"/>
      </w:pPr>
      <w:r>
        <w:t xml:space="preserve">228.</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462"/>
    <w:bookmarkStart w:id="463" w:name="ref-wilson2017"/>
    <w:p>
      <w:pPr>
        <w:pStyle w:val="Bibliography"/>
      </w:pPr>
      <w:r>
        <w:t xml:space="preserve">229.</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463"/>
    <w:bookmarkStart w:id="464" w:name="ref-cochranechpt7"/>
    <w:p>
      <w:pPr>
        <w:pStyle w:val="Bibliography"/>
      </w:pPr>
      <w:r>
        <w:t xml:space="preserve">230.</w:t>
      </w:r>
      <w:r>
        <w:t xml:space="preserve"> </w:t>
      </w:r>
      <w:r>
        <w:t xml:space="preserve">	</w:t>
      </w:r>
      <w:r>
        <w:t xml:space="preserve">Boutron, I.</w:t>
      </w:r>
      <w:r>
        <w:t xml:space="preserve"> </w:t>
      </w:r>
      <w:r>
        <w:rPr>
          <w:iCs/>
          <w:i/>
        </w:rPr>
        <w:t xml:space="preserve">et al.</w:t>
      </w:r>
      <w:r>
        <w:t xml:space="preserve"> Chapter 7:</w:t>
      </w:r>
      <w:r>
        <w:t xml:space="preserve"> </w:t>
      </w:r>
      <w:r>
        <w:t xml:space="preserve">Considering</w:t>
      </w:r>
      <w:r>
        <w:t xml:space="preserve"> </w:t>
      </w:r>
      <w:r>
        <w:t xml:space="preserve">bias and conflicts of interest among the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64"/>
    <w:bookmarkStart w:id="465" w:name="ref-sterne2019rob"/>
    <w:p>
      <w:pPr>
        <w:pStyle w:val="Bibliography"/>
      </w:pPr>
      <w:r>
        <w:t xml:space="preserve">231.</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465"/>
    <w:bookmarkStart w:id="466" w:name="ref-sterne2016robins"/>
    <w:p>
      <w:pPr>
        <w:pStyle w:val="Bibliography"/>
      </w:pPr>
      <w:r>
        <w:t xml:space="preserve">232.</w:t>
      </w:r>
      <w:r>
        <w:t xml:space="preserve"> </w:t>
      </w:r>
      <w:r>
        <w:t xml:space="preserve">	</w:t>
      </w:r>
      <w:r>
        <w:t xml:space="preserve">Sterne, J. A. C.</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66"/>
    <w:bookmarkStart w:id="467" w:name="ref-whiting2011quadas"/>
    <w:p>
      <w:pPr>
        <w:pStyle w:val="Bibliography"/>
      </w:pPr>
      <w:r>
        <w:t xml:space="preserve">233.</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467"/>
    <w:bookmarkStart w:id="468" w:name="ref-higgins2008assessing"/>
    <w:p>
      <w:pPr>
        <w:pStyle w:val="Bibliography"/>
      </w:pPr>
      <w:r>
        <w:t xml:space="preserve">234.</w:t>
      </w:r>
      <w:r>
        <w:t xml:space="preserve"> </w:t>
      </w:r>
      <w:r>
        <w:t xml:space="preserve">	</w:t>
      </w:r>
      <w:r>
        <w:t xml:space="preserve">Higgins, J. P. T. &amp; Altman, D. G. Chapter 8:</w:t>
      </w:r>
      <w:r>
        <w:t xml:space="preserve"> </w:t>
      </w:r>
      <w:r>
        <w:t xml:space="preserve">Assessing</w:t>
      </w:r>
      <w:r>
        <w:t xml:space="preserve"> </w:t>
      </w:r>
      <w:r>
        <w:t xml:space="preserve">risk of bias in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P. T. &amp; Green, S.) 187–241 (</w:t>
      </w:r>
      <w:r>
        <w:t xml:space="preserve">Wiley Online Library</w:t>
      </w:r>
      <w:r>
        <w:t xml:space="preserve">, 2008).</w:t>
      </w:r>
    </w:p>
    <w:bookmarkEnd w:id="468"/>
    <w:bookmarkStart w:id="469" w:name="ref-cochrane2014review"/>
    <w:p>
      <w:pPr>
        <w:pStyle w:val="Bibliography"/>
      </w:pPr>
      <w:r>
        <w:t xml:space="preserve">235.</w:t>
      </w:r>
      <w:r>
        <w:t xml:space="preserve"> </w:t>
      </w:r>
      <w:r>
        <w:t xml:space="preserve">	</w:t>
      </w:r>
      <w:r>
        <w:t xml:space="preserve">Cochrane Collaboration. Review</w:t>
      </w:r>
      <w:r>
        <w:t xml:space="preserve"> </w:t>
      </w:r>
      <w:r>
        <w:t xml:space="preserve">Manager</w:t>
      </w:r>
      <w:r>
        <w:t xml:space="preserve"> </w:t>
      </w:r>
      <w:r>
        <w:t xml:space="preserve">(</w:t>
      </w:r>
      <w:r>
        <w:t xml:space="preserve">RevMan</w:t>
      </w:r>
      <w:r>
        <w:t xml:space="preserve">) [</w:t>
      </w:r>
      <w:r>
        <w:t xml:space="preserve">Computer</w:t>
      </w:r>
      <w:r>
        <w:t xml:space="preserve"> </w:t>
      </w:r>
      <w:r>
        <w:t xml:space="preserve">program]. (2014).</w:t>
      </w:r>
    </w:p>
    <w:bookmarkEnd w:id="469"/>
    <w:bookmarkStart w:id="471" w:name="ref-marshall2015systematic"/>
    <w:p>
      <w:pPr>
        <w:pStyle w:val="Bibliography"/>
      </w:pPr>
      <w:r>
        <w:t xml:space="preserve">236.</w:t>
      </w:r>
      <w:r>
        <w:t xml:space="preserve"> </w:t>
      </w:r>
      <w:r>
        <w:t xml:space="preserve">	</w:t>
      </w:r>
      <w:r>
        <w:t xml:space="preserve">Marshall, C. &amp; Brereton, P. Systematic review toolbox: A catalogue of tools to support systematic reviews. in</w:t>
      </w:r>
      <w:r>
        <w:t xml:space="preserve"> </w:t>
      </w:r>
      <w:r>
        <w:rPr>
          <w:iCs/>
          <w:i/>
        </w:rPr>
        <w:t xml:space="preserve">Proceedings of the 19th international conference on evaluation and assessment in software engineering</w:t>
      </w:r>
      <w:r>
        <w:t xml:space="preserve"> </w:t>
      </w:r>
      <w:r>
        <w:t xml:space="preserve">Article 23; 1–6 (</w:t>
      </w:r>
      <w:r>
        <w:t xml:space="preserve">Association for Computing Machinery</w:t>
      </w:r>
      <w:r>
        <w:t xml:space="preserve">, 2015). doi:</w:t>
      </w:r>
      <w:hyperlink r:id="rId470">
        <w:r>
          <w:rPr>
            <w:rStyle w:val="Hyperlink"/>
          </w:rPr>
          <w:t xml:space="preserve">10.1145/2745802.2745824</w:t>
        </w:r>
      </w:hyperlink>
    </w:p>
    <w:bookmarkEnd w:id="471"/>
    <w:bookmarkStart w:id="472" w:name="ref-harrison2020software"/>
    <w:p>
      <w:pPr>
        <w:pStyle w:val="Bibliography"/>
      </w:pPr>
      <w:r>
        <w:t xml:space="preserve">237.</w:t>
      </w:r>
      <w:r>
        <w:t xml:space="preserve"> </w:t>
      </w:r>
      <w:r>
        <w:t xml:space="preserve">	</w:t>
      </w:r>
      <w:r>
        <w:t xml:space="preserve">Harrison, H., Griffin, S. J., Kuhn, I. &amp; Usher-Smith, J. A. Software tools to support title and abstract screening for systematic reviews in healthcare: An evaluation.</w:t>
      </w:r>
      <w:r>
        <w:t xml:space="preserve"> </w:t>
      </w:r>
      <w:r>
        <w:rPr>
          <w:iCs/>
          <w:i/>
        </w:rPr>
        <w:t xml:space="preserve">BMC Medical Research Methodology</w:t>
      </w:r>
      <w:r>
        <w:t xml:space="preserve"> </w:t>
      </w:r>
      <w:r>
        <w:rPr>
          <w:bCs/>
          <w:b/>
        </w:rPr>
        <w:t xml:space="preserve">20</w:t>
      </w:r>
      <w:r>
        <w:t xml:space="preserve">, 7 (2020).</w:t>
      </w:r>
    </w:p>
    <w:bookmarkEnd w:id="472"/>
    <w:bookmarkStart w:id="473" w:name="ref-rref"/>
    <w:p>
      <w:pPr>
        <w:pStyle w:val="Bibliography"/>
      </w:pPr>
      <w:r>
        <w:t xml:space="preserve">238.</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73"/>
    <w:bookmarkStart w:id="474" w:name="ref-rstudioref"/>
    <w:p>
      <w:pPr>
        <w:pStyle w:val="Bibliography"/>
      </w:pPr>
      <w:r>
        <w:t xml:space="preserve">239.</w:t>
      </w:r>
      <w:r>
        <w:t xml:space="preserve"> </w:t>
      </w:r>
      <w:r>
        <w:t xml:space="preserve">	</w:t>
      </w:r>
      <w:r>
        <w:t xml:space="preserve">RStudio Team.</w:t>
      </w:r>
      <w:r>
        <w:t xml:space="preserve"> </w:t>
      </w:r>
      <w:r>
        <w:rPr>
          <w:iCs/>
          <w:i/>
        </w:rPr>
        <w:t xml:space="preserve">RStudio</w:t>
      </w:r>
      <w:r>
        <w:rPr>
          <w:iCs/>
          <w:i/>
        </w:rPr>
        <w:t xml:space="preserve">:</w:t>
      </w:r>
      <w:r>
        <w:rPr>
          <w:iCs/>
          <w:i/>
        </w:rPr>
        <w:t xml:space="preserve"> </w:t>
      </w:r>
      <w:r>
        <w:rPr>
          <w:iCs/>
          <w:i/>
        </w:rPr>
        <w:t xml:space="preserve">Integrated</w:t>
      </w:r>
      <w:r>
        <w:rPr>
          <w:iCs/>
          <w:i/>
        </w:rPr>
        <w:t xml:space="preserve"> </w:t>
      </w:r>
      <w:r>
        <w:rPr>
          <w:iCs/>
          <w:i/>
        </w:rPr>
        <w:t xml:space="preserve">development environment for</w:t>
      </w:r>
      <w:r>
        <w:rPr>
          <w:iCs/>
          <w:i/>
        </w:rPr>
        <w:t xml:space="preserve"> </w:t>
      </w:r>
      <w:r>
        <w:rPr>
          <w:iCs/>
          <w:i/>
        </w:rPr>
        <w:t xml:space="preserve">R</w:t>
      </w:r>
      <w:r>
        <w:t xml:space="preserve">. (</w:t>
      </w:r>
      <w:r>
        <w:t xml:space="preserve">RStudio, Inc.</w:t>
      </w:r>
      <w:r>
        <w:t xml:space="preserve">, 2015).</w:t>
      </w:r>
    </w:p>
    <w:bookmarkEnd w:id="474"/>
    <w:bookmarkStart w:id="475" w:name="ref-shinyref"/>
    <w:p>
      <w:pPr>
        <w:pStyle w:val="Bibliography"/>
      </w:pPr>
      <w:r>
        <w:t xml:space="preserve">240.</w:t>
      </w:r>
      <w:r>
        <w:t xml:space="preserve"> </w:t>
      </w:r>
      <w:r>
        <w:t xml:space="preserve">	</w:t>
      </w:r>
      <w:r>
        <w:t xml:space="preserve">Chang, W., Cheng, J., Allaire, J., Xie, Y. &amp; McPherson, J.</w:t>
      </w:r>
      <w:r>
        <w:t xml:space="preserve"> </w:t>
      </w:r>
      <w:r>
        <w:rPr>
          <w:iCs/>
          <w:i/>
        </w:rPr>
        <w:t xml:space="preserve">Shiny:</w:t>
      </w:r>
      <w:r>
        <w:rPr>
          <w:iCs/>
          <w:i/>
        </w:rPr>
        <w:t xml:space="preserve"> </w:t>
      </w:r>
      <w:r>
        <w:rPr>
          <w:iCs/>
          <w:i/>
        </w:rPr>
        <w:t xml:space="preserve">Web</w:t>
      </w:r>
      <w:r>
        <w:rPr>
          <w:iCs/>
          <w:i/>
        </w:rPr>
        <w:t xml:space="preserve"> </w:t>
      </w:r>
      <w:r>
        <w:rPr>
          <w:iCs/>
          <w:i/>
        </w:rPr>
        <w:t xml:space="preserve">application framework for</w:t>
      </w:r>
      <w:r>
        <w:rPr>
          <w:iCs/>
          <w:i/>
        </w:rPr>
        <w:t xml:space="preserve"> </w:t>
      </w:r>
      <w:r>
        <w:rPr>
          <w:iCs/>
          <w:i/>
        </w:rPr>
        <w:t xml:space="preserve">R</w:t>
      </w:r>
      <w:r>
        <w:t xml:space="preserve">. (2019).</w:t>
      </w:r>
    </w:p>
    <w:bookmarkEnd w:id="475"/>
    <w:bookmarkStart w:id="477" w:name="ref-mcguinness2019a"/>
    <w:p>
      <w:pPr>
        <w:pStyle w:val="Bibliography"/>
      </w:pPr>
      <w:r>
        <w:t xml:space="preserve">241.</w:t>
      </w:r>
      <w:r>
        <w:t xml:space="preserve"> </w:t>
      </w:r>
      <w:r>
        <w:t xml:space="preserve">	</w:t>
      </w:r>
      <w:r>
        <w:t xml:space="preserve">McGuinness, L. A. Robvis:</w:t>
      </w:r>
      <w:r>
        <w:t xml:space="preserve"> </w:t>
      </w:r>
      <w:r>
        <w:t xml:space="preserve">An R</w:t>
      </w:r>
      <w:r>
        <w:t xml:space="preserve"> </w:t>
      </w:r>
      <w:r>
        <w:t xml:space="preserve">package for visualising risk-of-bias assessments. [</w:t>
      </w:r>
      <w:r>
        <w:t xml:space="preserve">Computer Software</w:t>
      </w:r>
      <w:r>
        <w:t xml:space="preserve"> </w:t>
      </w:r>
      <w:r>
        <w:t xml:space="preserve">- v0.3.0]. (2019). doi:</w:t>
      </w:r>
      <w:hyperlink r:id="rId476">
        <w:r>
          <w:rPr>
            <w:rStyle w:val="Hyperlink"/>
          </w:rPr>
          <w:t xml:space="preserve">10.5281/zenodo.3552342</w:t>
        </w:r>
      </w:hyperlink>
    </w:p>
    <w:bookmarkEnd w:id="477"/>
    <w:bookmarkStart w:id="479" w:name="ref-gibb2019consistent"/>
    <w:p>
      <w:pPr>
        <w:pStyle w:val="Bibliography"/>
      </w:pPr>
      <w:r>
        <w:t xml:space="preserve">242.</w:t>
      </w:r>
      <w:r>
        <w:t xml:space="preserve"> </w:t>
      </w:r>
      <w:r>
        <w:t xml:space="preserve">	</w:t>
      </w:r>
      <w:r>
        <w:t xml:space="preserve">Gibb, K.</w:t>
      </w:r>
      <w:r>
        <w:t xml:space="preserve"> </w:t>
      </w:r>
      <w:r>
        <w:rPr>
          <w:iCs/>
          <w:i/>
        </w:rPr>
        <w:t xml:space="preserve">et al.</w:t>
      </w:r>
      <w:r>
        <w:t xml:space="preserve"> The consistent burden in published estimates of delirium occurrence in medical inpatients over four decades: A systematic review and meta-analysis study.</w:t>
      </w:r>
      <w:r>
        <w:t xml:space="preserve"> </w:t>
      </w:r>
      <w:r>
        <w:rPr>
          <w:iCs/>
          <w:i/>
        </w:rPr>
        <w:t xml:space="preserve">medRxiv</w:t>
      </w:r>
      <w:r>
        <w:t xml:space="preserve"> </w:t>
      </w:r>
      <w:r>
        <w:t xml:space="preserve">19005165 (2019). doi:</w:t>
      </w:r>
      <w:hyperlink r:id="rId478">
        <w:r>
          <w:rPr>
            <w:rStyle w:val="Hyperlink"/>
          </w:rPr>
          <w:t xml:space="preserve">10.1101/19005165</w:t>
        </w:r>
      </w:hyperlink>
    </w:p>
    <w:bookmarkEnd w:id="479"/>
    <w:bookmarkStart w:id="480" w:name="ref-habadi2019prevalence"/>
    <w:p>
      <w:pPr>
        <w:pStyle w:val="Bibliography"/>
      </w:pPr>
      <w:r>
        <w:t xml:space="preserve">243.</w:t>
      </w:r>
      <w:r>
        <w:t xml:space="preserve"> </w:t>
      </w:r>
      <w:r>
        <w:t xml:space="preserve">	</w:t>
      </w:r>
      <w:r>
        <w:t xml:space="preserve">Habadi, M. I.</w:t>
      </w:r>
      <w:r>
        <w:t xml:space="preserve"> </w:t>
      </w:r>
      <w:r>
        <w:rPr>
          <w:iCs/>
          <w:i/>
        </w:rPr>
        <w:t xml:space="preserve">et al.</w:t>
      </w:r>
      <w:r>
        <w:t xml:space="preserve"> Prevalence of panic disorders in the primary health care setting:</w:t>
      </w:r>
      <w:r>
        <w:t xml:space="preserve"> </w:t>
      </w:r>
      <w:r>
        <w:t xml:space="preserve">A</w:t>
      </w:r>
      <w:r>
        <w:t xml:space="preserve"> </w:t>
      </w:r>
      <w:r>
        <w:t xml:space="preserve">systematic review and meta-analysis.</w:t>
      </w:r>
      <w:r>
        <w:t xml:space="preserve"> </w:t>
      </w:r>
      <w:r>
        <w:rPr>
          <w:iCs/>
          <w:i/>
        </w:rPr>
        <w:t xml:space="preserve">EC Microbiology</w:t>
      </w:r>
      <w:r>
        <w:t xml:space="preserve"> </w:t>
      </w:r>
      <w:r>
        <w:rPr>
          <w:bCs/>
          <w:b/>
        </w:rPr>
        <w:t xml:space="preserve">16</w:t>
      </w:r>
      <w:r>
        <w:t xml:space="preserve">, 01–09 (2019).</w:t>
      </w:r>
    </w:p>
    <w:bookmarkEnd w:id="480"/>
    <w:bookmarkStart w:id="481" w:name="ref-veloso2020effectiveness"/>
    <w:p>
      <w:pPr>
        <w:pStyle w:val="Bibliography"/>
      </w:pPr>
      <w:r>
        <w:t xml:space="preserve">244.</w:t>
      </w:r>
      <w:r>
        <w:t xml:space="preserve"> </w:t>
      </w:r>
      <w:r>
        <w:t xml:space="preserve">	</w:t>
      </w:r>
      <w:r>
        <w:t xml:space="preserve">Veloso, A., Vicente, S. G. &amp; Filipe, M. G. Effectiveness of cognitive training for school-aged children and adolescents with attention</w:t>
      </w:r>
      <w:r>
        <w:t xml:space="preserve"> </w:t>
      </w:r>
      <w:r>
        <w:t xml:space="preserve">Deficit</w:t>
      </w:r>
      <w:r>
        <w:t xml:space="preserve">/</w:t>
      </w:r>
      <w:r>
        <w:t xml:space="preserve">Hyperactivity</w:t>
      </w:r>
      <w:r>
        <w:t xml:space="preserve"> </w:t>
      </w:r>
      <w:r>
        <w:t xml:space="preserve">disorder:</w:t>
      </w:r>
      <w:r>
        <w:t xml:space="preserve"> </w:t>
      </w:r>
      <w:r>
        <w:t xml:space="preserve">A</w:t>
      </w:r>
      <w:r>
        <w:t xml:space="preserve"> </w:t>
      </w:r>
      <w:r>
        <w:t xml:space="preserve">systematic review.</w:t>
      </w:r>
      <w:r>
        <w:t xml:space="preserve"> </w:t>
      </w:r>
      <w:r>
        <w:rPr>
          <w:iCs/>
          <w:i/>
        </w:rPr>
        <w:t xml:space="preserve">Frontiers in Psychology</w:t>
      </w:r>
      <w:r>
        <w:t xml:space="preserve"> </w:t>
      </w:r>
      <w:r>
        <w:rPr>
          <w:bCs/>
          <w:b/>
        </w:rPr>
        <w:t xml:space="preserve">10</w:t>
      </w:r>
      <w:r>
        <w:t xml:space="preserve">, 2983 (2020).</w:t>
      </w:r>
    </w:p>
    <w:bookmarkEnd w:id="481"/>
    <w:bookmarkStart w:id="482" w:name="ref-simillis2020"/>
    <w:p>
      <w:pPr>
        <w:pStyle w:val="Bibliography"/>
      </w:pPr>
      <w:r>
        <w:t xml:space="preserve">245.</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482"/>
    <w:bookmarkStart w:id="483" w:name="ref-tanneru2020"/>
    <w:p>
      <w:pPr>
        <w:pStyle w:val="Bibliography"/>
      </w:pPr>
      <w:r>
        <w:t xml:space="preserve">246.</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483"/>
    <w:bookmarkStart w:id="484" w:name="ref-mathias_harrer_2019_2551803"/>
    <w:p>
      <w:pPr>
        <w:pStyle w:val="Bibliography"/>
      </w:pPr>
      <w:r>
        <w:t xml:space="preserve">247.</w:t>
      </w:r>
      <w:r>
        <w:t xml:space="preserve"> </w:t>
      </w:r>
      <w:r>
        <w:t xml:space="preserve">	</w:t>
      </w:r>
      <w:r>
        <w:t xml:space="preserve">Harrer, M., Cuijpers, P. &amp; Ebert, D.</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Zenodo</w:t>
      </w:r>
      <w:r>
        <w:t xml:space="preserve">, 2019).</w:t>
      </w:r>
    </w:p>
    <w:bookmarkEnd w:id="484"/>
    <w:bookmarkStart w:id="485" w:name="ref-whiting2016robis"/>
    <w:p>
      <w:pPr>
        <w:pStyle w:val="Bibliography"/>
      </w:pPr>
      <w:r>
        <w:t xml:space="preserve">248.</w:t>
      </w:r>
      <w:r>
        <w:t xml:space="preserve"> </w:t>
      </w:r>
      <w:r>
        <w:t xml:space="preserve">	</w:t>
      </w:r>
      <w:r>
        <w:t xml:space="preserve">Whiting, P.</w:t>
      </w:r>
      <w:r>
        <w:t xml:space="preserve"> </w:t>
      </w:r>
      <w:r>
        <w:rPr>
          <w:iCs/>
          <w:i/>
        </w:rPr>
        <w:t xml:space="preserve">et al.</w:t>
      </w:r>
      <w:r>
        <w:t xml:space="preserve"> </w:t>
      </w:r>
      <w:r>
        <w:t xml:space="preserve">ROBIS</w:t>
      </w:r>
      <w:r>
        <w:t xml:space="preserve">: A new tool to assess risk of bias in systematic reviews was developed.</w:t>
      </w:r>
      <w:r>
        <w:t xml:space="preserve"> </w:t>
      </w:r>
      <w:r>
        <w:rPr>
          <w:iCs/>
          <w:i/>
        </w:rPr>
        <w:t xml:space="preserve">Journal of Clinical Epidemiology</w:t>
      </w:r>
      <w:r>
        <w:t xml:space="preserve"> </w:t>
      </w:r>
      <w:r>
        <w:rPr>
          <w:bCs/>
          <w:b/>
        </w:rPr>
        <w:t xml:space="preserve">69</w:t>
      </w:r>
      <w:r>
        <w:t xml:space="preserve">, 225–234 (2016).</w:t>
      </w:r>
    </w:p>
    <w:bookmarkEnd w:id="485"/>
    <w:bookmarkEnd w:id="486"/>
    <w:bookmarkEnd w:id="487"/>
    <w:bookmarkStart w:id="488" w:name="appendix"/>
    <w:p>
      <w:pPr>
        <w:pStyle w:val="Heading1"/>
      </w:pPr>
      <w:r>
        <w:t xml:space="preserve">Appendix</w:t>
      </w:r>
    </w:p>
    <w:bookmarkEnd w:id="488"/>
    <w:bookmarkStart w:id="505" w:name="chapter-appendix-heading"/>
    <w:p>
      <w:pPr>
        <w:pStyle w:val="Heading1"/>
      </w:pPr>
      <w:r>
        <w:t xml:space="preserve">By Chapter</w:t>
      </w:r>
    </w:p>
    <w:bookmarkStart w:id="491" w:name="appendix-into"/>
    <w:p>
      <w:pPr>
        <w:pStyle w:val="Heading2"/>
      </w:pPr>
      <w:r>
        <w:t xml:space="preserve">Chapter</w:t>
      </w:r>
      <w:r>
        <w:t xml:space="preserve"> </w:t>
      </w:r>
      <w:r>
        <w:t xml:space="preserve">2</w:t>
      </w:r>
    </w:p>
    <w:bookmarkStart w:id="489" w:name="appendix-publications"/>
    <w:p>
      <w:pPr>
        <w:pStyle w:val="Heading3"/>
      </w:pPr>
      <w:r>
        <w:t xml:space="preserve">Publications beyond the scope of this thesis</w:t>
      </w:r>
    </w:p>
    <w:p>
      <w:pPr>
        <w:pStyle w:val="FirstParagraph"/>
      </w:pPr>
      <w:r>
        <w:rPr>
          <w:bCs/>
          <w:b/>
        </w:rPr>
        <w:t xml:space="preserve">Peer reviewed</w:t>
      </w:r>
    </w:p>
    <w:p>
      <w:pPr>
        <w:numPr>
          <w:ilvl w:val="0"/>
          <w:numId w:val="1016"/>
        </w:numPr>
      </w:pPr>
      <w:r>
        <w:t xml:space="preserve">PRISMA main paper</w:t>
      </w:r>
    </w:p>
    <w:p>
      <w:pPr>
        <w:numPr>
          <w:ilvl w:val="0"/>
          <w:numId w:val="1016"/>
        </w:numPr>
      </w:pPr>
      <w:r>
        <w:t xml:space="preserve">PRISMA E&amp;E</w:t>
      </w:r>
    </w:p>
    <w:p>
      <w:pPr>
        <w:numPr>
          <w:ilvl w:val="0"/>
          <w:numId w:val="1016"/>
        </w:numPr>
      </w:pPr>
      <w:r>
        <w:t xml:space="preserve">PRISMA 2020 software</w:t>
      </w:r>
    </w:p>
    <w:p>
      <w:pPr>
        <w:numPr>
          <w:ilvl w:val="0"/>
          <w:numId w:val="1016"/>
        </w:numPr>
      </w:pPr>
      <w:r>
        <w:t xml:space="preserve">COVID Suicide Living Review</w:t>
      </w:r>
    </w:p>
    <w:p>
      <w:pPr>
        <w:numPr>
          <w:ilvl w:val="0"/>
          <w:numId w:val="1016"/>
        </w:numPr>
      </w:pPr>
      <w:r>
        <w:t xml:space="preserve">Data extraction tools systematic review</w:t>
      </w:r>
    </w:p>
    <w:p>
      <w:pPr>
        <w:pStyle w:val="FirstParagraph"/>
      </w:pPr>
      <w:r>
        <w:rPr>
          <w:bCs/>
          <w:b/>
        </w:rPr>
        <w:t xml:space="preserve">Under review/Preprints</w:t>
      </w:r>
    </w:p>
    <w:p>
      <w:pPr>
        <w:numPr>
          <w:ilvl w:val="0"/>
          <w:numId w:val="1017"/>
        </w:numPr>
      </w:pPr>
      <w:r>
        <w:t xml:space="preserve">MSc Paper on systematic reviews of this thesis topic</w:t>
      </w:r>
    </w:p>
    <w:bookmarkEnd w:id="489"/>
    <w:bookmarkStart w:id="490"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490"/>
    <w:bookmarkEnd w:id="491"/>
    <w:bookmarkStart w:id="496" w:name="appendix-sys-rev"/>
    <w:p>
      <w:pPr>
        <w:pStyle w:val="Heading2"/>
      </w:pPr>
      <w:r>
        <w:t xml:space="preserve">Chapter</w:t>
      </w:r>
      <w:r>
        <w:t xml:space="preserve"> </w:t>
      </w:r>
      <w:r>
        <w:t xml:space="preserve">4</w:t>
      </w:r>
    </w:p>
    <w:bookmarkStart w:id="492" w:name="appendix-search-strategy"/>
    <w:p>
      <w:pPr>
        <w:pStyle w:val="Heading3"/>
      </w:pPr>
      <w:r>
        <w:t xml:space="preserve">Search strategy</w:t>
      </w:r>
    </w:p>
    <w:p>
      <w:pPr>
        <w:pStyle w:val="FirstParagraph"/>
      </w:pPr>
      <w:r>
        <w:t xml:space="preserve">Impor</w:t>
      </w:r>
    </w:p>
    <w:bookmarkEnd w:id="492"/>
    <w:bookmarkStart w:id="493" w:name="appendix-wos-databases"/>
    <w:p>
      <w:pPr>
        <w:pStyle w:val="Heading3"/>
      </w:pPr>
      <w:r>
        <w:t xml:space="preserve">Web of Science Databases Searched</w:t>
      </w:r>
    </w:p>
    <w:p>
      <w:pPr>
        <w:pStyle w:val="FirstParagraph"/>
      </w:pPr>
      <w:r>
        <w:t xml:space="preserve"> </w:t>
      </w:r>
    </w:p>
    <w:p>
      <w:pPr>
        <w:pStyle w:val="TableCaption"/>
      </w:pPr>
      <w:r>
        <w:t xml:space="preserve">Table 15: Summary of Web of Science databases searched.</w:t>
      </w:r>
    </w:p>
    <w:tbl>
      <w:tblPr>
        <w:tblStyle w:val="Table"/>
        <w:tblW w:type="pct" w:w="5000.0"/>
        <w:tblLook w:firstRow="1" w:lastRow="0" w:firstColumn="0" w:lastColumn="0" w:noHBand="0" w:noVBand="0" w:val="0020"/>
        <w:tblCaption w:val="Table 15: Summary of Web of Science databases searched."/>
      </w:tblPr>
      <w:tblGrid>
        <w:gridCol w:w="5729"/>
        <w:gridCol w:w="1095"/>
        <w:gridCol w:w="1095"/>
      </w:tblGrid>
      <w:tr>
        <w:tc>
          <w:p>
            <w:pPr>
              <w:pStyle w:val="Compact"/>
              <w:jc w:val="left"/>
            </w:pPr>
            <w:r>
              <w:t xml:space="preserve">Database</w:t>
            </w:r>
          </w:p>
        </w:tc>
        <w:tc>
          <w:p>
            <w:pPr>
              <w:pStyle w:val="Compact"/>
              <w:jc w:val="left"/>
            </w:pPr>
            <w:r>
              <w:t xml:space="preserve">Abbreviation</w:t>
            </w:r>
          </w:p>
        </w:tc>
        <w:tc>
          <w:p>
            <w:pPr>
              <w:pStyle w:val="Compact"/>
              <w:jc w:val="left"/>
            </w:pPr>
            <w:r>
              <w:t xml:space="preserve">Years</w:t>
            </w:r>
          </w:p>
        </w:tc>
      </w:tr>
      <w:tr>
        <w:tc>
          <w:p>
            <w:pPr>
              <w:pStyle w:val="Compact"/>
              <w:jc w:val="left"/>
            </w:pPr>
            <w:r>
              <w:t xml:space="preserve">Science Citation Index Expanded</w:t>
            </w:r>
          </w:p>
        </w:tc>
        <w:tc>
          <w:p>
            <w:pPr>
              <w:pStyle w:val="Compact"/>
              <w:jc w:val="left"/>
            </w:pPr>
            <w:r>
              <w:t xml:space="preserve">SCI-EXPANDED</w:t>
            </w:r>
          </w:p>
        </w:tc>
        <w:tc>
          <w:p>
            <w:pPr>
              <w:pStyle w:val="Compact"/>
              <w:jc w:val="left"/>
            </w:pPr>
            <w:r>
              <w:t xml:space="preserve">1900-present</w:t>
            </w:r>
          </w:p>
        </w:tc>
      </w:tr>
      <w:tr>
        <w:tc>
          <w:p>
            <w:pPr>
              <w:pStyle w:val="Compact"/>
              <w:jc w:val="left"/>
            </w:pPr>
            <w:r>
              <w:t xml:space="preserve">Social Sciences Citation Index</w:t>
            </w:r>
          </w:p>
        </w:tc>
        <w:tc>
          <w:p>
            <w:pPr>
              <w:pStyle w:val="Compact"/>
              <w:jc w:val="left"/>
            </w:pPr>
            <w:r>
              <w:t xml:space="preserve">SSCI</w:t>
            </w:r>
          </w:p>
        </w:tc>
        <w:tc>
          <w:p>
            <w:pPr>
              <w:pStyle w:val="Compact"/>
              <w:jc w:val="left"/>
            </w:pPr>
            <w:r>
              <w:t xml:space="preserve">1956-present</w:t>
            </w:r>
          </w:p>
        </w:tc>
      </w:tr>
      <w:tr>
        <w:tc>
          <w:p>
            <w:pPr>
              <w:pStyle w:val="Compact"/>
              <w:jc w:val="left"/>
            </w:pPr>
            <w:r>
              <w:t xml:space="preserve">Arts &amp; Humanities Citation Index</w:t>
            </w:r>
          </w:p>
        </w:tc>
        <w:tc>
          <w:p>
            <w:pPr>
              <w:pStyle w:val="Compact"/>
              <w:jc w:val="left"/>
            </w:pPr>
            <w:r>
              <w:t xml:space="preserve">A&amp;HCI</w:t>
            </w:r>
          </w:p>
        </w:tc>
        <w:tc>
          <w:p>
            <w:pPr>
              <w:pStyle w:val="Compact"/>
              <w:jc w:val="left"/>
            </w:pPr>
            <w:r>
              <w:t xml:space="preserve">1975-present</w:t>
            </w:r>
          </w:p>
        </w:tc>
      </w:tr>
      <w:tr>
        <w:tc>
          <w:p>
            <w:pPr>
              <w:pStyle w:val="Compact"/>
              <w:jc w:val="left"/>
            </w:pPr>
            <w:r>
              <w:t xml:space="preserve">Conference Proceedings Citation Index - Science</w:t>
            </w:r>
          </w:p>
        </w:tc>
        <w:tc>
          <w:p>
            <w:pPr>
              <w:pStyle w:val="Compact"/>
              <w:jc w:val="left"/>
            </w:pPr>
            <w:r>
              <w:t xml:space="preserve">CPCI-S</w:t>
            </w:r>
          </w:p>
        </w:tc>
        <w:tc>
          <w:p>
            <w:pPr>
              <w:pStyle w:val="Compact"/>
              <w:jc w:val="left"/>
            </w:pPr>
            <w:r>
              <w:t xml:space="preserve">1990-present</w:t>
            </w:r>
          </w:p>
        </w:tc>
      </w:tr>
      <w:tr>
        <w:tc>
          <w:p>
            <w:pPr>
              <w:pStyle w:val="Compact"/>
              <w:jc w:val="left"/>
            </w:pPr>
            <w:r>
              <w:t xml:space="preserve">Conference Proceedings Citation Index - Social Science &amp; Humanities</w:t>
            </w:r>
          </w:p>
        </w:tc>
        <w:tc>
          <w:p>
            <w:pPr>
              <w:pStyle w:val="Compact"/>
              <w:jc w:val="left"/>
            </w:pPr>
            <w:r>
              <w:t xml:space="preserve">CPCI-SSH</w:t>
            </w:r>
          </w:p>
        </w:tc>
        <w:tc>
          <w:p>
            <w:pPr>
              <w:pStyle w:val="Compact"/>
              <w:jc w:val="left"/>
            </w:pPr>
            <w:r>
              <w:t xml:space="preserve">1990-present</w:t>
            </w:r>
          </w:p>
        </w:tc>
      </w:tr>
      <w:tr>
        <w:tc>
          <w:p>
            <w:pPr>
              <w:pStyle w:val="Compact"/>
              <w:jc w:val="left"/>
            </w:pPr>
            <w:r>
              <w:t xml:space="preserve">Emerging Sources Citation Index</w:t>
            </w:r>
          </w:p>
        </w:tc>
        <w:tc>
          <w:p>
            <w:pPr>
              <w:pStyle w:val="Compact"/>
              <w:jc w:val="left"/>
            </w:pPr>
            <w:r>
              <w:t xml:space="preserve">ESCI</w:t>
            </w:r>
          </w:p>
        </w:tc>
        <w:tc>
          <w:p>
            <w:pPr>
              <w:pStyle w:val="Compact"/>
              <w:jc w:val="left"/>
            </w:pPr>
            <w:r>
              <w:t xml:space="preserve">2015-present</w:t>
            </w:r>
          </w:p>
        </w:tc>
      </w:tr>
    </w:tbl>
    <w:p>
      <w:pPr>
        <w:pStyle w:val="BodyText"/>
      </w:pPr>
      <w:r>
        <w:t xml:space="preserve"> </w:t>
      </w:r>
    </w:p>
    <w:bookmarkEnd w:id="493"/>
    <w:bookmarkStart w:id="494"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494"/>
    <w:bookmarkStart w:id="495" w:name="appendix-mr-rob"/>
    <w:p>
      <w:pPr>
        <w:pStyle w:val="Heading3"/>
      </w:pPr>
      <w:r>
        <w:t xml:space="preserve">MR risk of bias tool</w:t>
      </w:r>
    </w:p>
    <w:p>
      <w:pPr>
        <w:pStyle w:val="TableCaption"/>
      </w:pPr>
      <w:r>
        <w:t xml:space="preserve">Table 16: Tool used to assess risk of bias in Mendelian randomisation studies, adapted from that developed by Mamluk et al.</w:t>
      </w:r>
      <w:hyperlink w:anchor="ref-mamluk2020">
        <w:r>
          <w:rPr>
            <w:rStyle w:val="Hyperlink"/>
            <w:vertAlign w:val="superscript"/>
          </w:rPr>
          <w:t xml:space="preserve">156</w:t>
        </w:r>
      </w:hyperlink>
    </w:p>
    <w:tbl>
      <w:tblPr>
        <w:tblStyle w:val="Table"/>
        <w:tblW w:type="pct" w:w="5000.0"/>
        <w:tblLook w:firstRow="1" w:lastRow="0" w:firstColumn="0" w:lastColumn="0" w:noHBand="0" w:noVBand="0" w:val="0020"/>
        <w:tblCaption w:val="Table 16: Tool used to assess risk of bias in Mendelian randomisation studies, adapted from that developed by Mamluk et al.156"/>
      </w:tblPr>
      <w:tblGrid>
        <w:gridCol w:w="1015"/>
        <w:gridCol w:w="1886"/>
        <w:gridCol w:w="1463"/>
        <w:gridCol w:w="1801"/>
        <w:gridCol w:w="1753"/>
      </w:tblGrid>
      <w:tr>
        <w:tc>
          <w:p>
            <w:pPr>
              <w:pStyle w:val="Compact"/>
              <w:jc w:val="left"/>
            </w:pPr>
            <w:r>
              <w:t xml:space="preserve">Bias domain</w:t>
            </w:r>
          </w:p>
        </w:tc>
        <w:tc>
          <w:p>
            <w:pPr>
              <w:pStyle w:val="Compact"/>
              <w:jc w:val="left"/>
            </w:pPr>
            <w:r>
              <w:t xml:space="preserve">Question</w:t>
            </w:r>
          </w:p>
        </w:tc>
        <w:tc>
          <w:p>
            <w:pPr>
              <w:pStyle w:val="Compact"/>
              <w:jc w:val="left"/>
            </w:pPr>
            <w:r>
              <w:t xml:space="preserve">High</w:t>
            </w:r>
          </w:p>
        </w:tc>
        <w:tc>
          <w:p>
            <w:pPr>
              <w:pStyle w:val="Compact"/>
              <w:jc w:val="left"/>
            </w:pPr>
            <w:r>
              <w:t xml:space="preserve">Moderate</w:t>
            </w:r>
          </w:p>
        </w:tc>
        <w:tc>
          <w:p>
            <w:pPr>
              <w:pStyle w:val="Compact"/>
              <w:jc w:val="left"/>
            </w:pPr>
            <w:r>
              <w:t xml:space="preserve">Low</w:t>
            </w:r>
          </w:p>
        </w:tc>
      </w:tr>
      <w:tr>
        <w:tc>
          <w:p>
            <w:pPr>
              <w:pStyle w:val="Compact"/>
              <w:jc w:val="left"/>
            </w:pPr>
            <w:r>
              <w:t xml:space="preserve">Weak instrument bias</w:t>
            </w:r>
          </w:p>
        </w:tc>
        <w:tc>
          <w:p>
            <w:pPr>
              <w:pStyle w:val="Compact"/>
              <w:jc w:val="left"/>
            </w:pPr>
            <w:r>
              <w:t xml:space="preserve">Strength of association between instrument and exposure F statistic &lt; 10 in the same sample (&lt; 10 indicating a weak instrument)</w:t>
            </w:r>
          </w:p>
        </w:tc>
        <w:tc>
          <w:p>
            <w:pPr>
              <w:pStyle w:val="Compact"/>
              <w:jc w:val="left"/>
            </w:pPr>
            <w:r>
              <w:t xml:space="preserve">F&lt;10</w:t>
            </w:r>
          </w:p>
        </w:tc>
        <w:tc>
          <w:p>
            <w:pPr>
              <w:pStyle w:val="Compact"/>
              <w:jc w:val="left"/>
            </w:pPr>
            <w:r>
              <w:t xml:space="preserve">F= missing or F~10</w:t>
            </w:r>
          </w:p>
        </w:tc>
        <w:tc>
          <w:p>
            <w:pPr>
              <w:pStyle w:val="Compact"/>
              <w:jc w:val="left"/>
            </w:pPr>
            <w:r>
              <w:t xml:space="preserve">F&gt;&gt;10</w:t>
            </w:r>
          </w:p>
        </w:tc>
      </w:tr>
      <w:tr>
        <w:tc>
          <w:p>
            <w:pPr>
              <w:pStyle w:val="Compact"/>
              <w:jc w:val="left"/>
            </w:pPr>
            <w:r>
              <w:t xml:space="preserve">Genetic confounding bias</w:t>
            </w:r>
          </w:p>
        </w:tc>
        <w:tc>
          <w:p>
            <w:pPr>
              <w:pStyle w:val="Compact"/>
              <w:jc w:val="left"/>
            </w:pPr>
            <w:r>
              <w:t xml:space="preserve">Reported test on association between confounders and IV (testing the assumption that the instrument is associated with your outcome only via your exposure)</w:t>
            </w:r>
          </w:p>
        </w:tc>
        <w:tc>
          <w:p>
            <w:pPr>
              <w:pStyle w:val="Compact"/>
              <w:jc w:val="left"/>
            </w:pPr>
            <w:r>
              <w:t xml:space="preserve">Yes AND there is an obvious association</w:t>
            </w:r>
          </w:p>
        </w:tc>
        <w:tc>
          <w:p>
            <w:pPr>
              <w:pStyle w:val="Compact"/>
              <w:jc w:val="left"/>
            </w:pPr>
            <w:r>
              <w:t xml:space="preserve">Not presented or</w:t>
            </w:r>
          </w:p>
        </w:tc>
        <w:tc>
          <w:p/>
        </w:tc>
      </w:tr>
      <w:tr>
        <w:tc>
          <w:p>
            <w:pPr>
              <w:pStyle w:val="Compact"/>
              <w:jc w:val="left"/>
            </w:pPr>
            <w:r>
              <w:t xml:space="preserve">Yes presented AND there is some degree of association</w:t>
            </w:r>
          </w:p>
        </w:tc>
        <w:tc>
          <w:p>
            <w:pPr>
              <w:pStyle w:val="Compact"/>
              <w:jc w:val="left"/>
            </w:pPr>
            <w:r>
              <w:t xml:space="preserve">Presented and no obvious association</w:t>
            </w:r>
          </w:p>
        </w:tc>
        <w:tc>
          <w:p/>
        </w:tc>
        <w:tc>
          <w:p/>
        </w:tc>
        <w:tc>
          <w:p/>
        </w:tc>
      </w:tr>
      <w:tr>
        <w:tc>
          <w:p>
            <w:pPr>
              <w:pStyle w:val="Compact"/>
              <w:jc w:val="left"/>
            </w:pPr>
            <w:r>
              <w:t xml:space="preserve">‘</w:t>
            </w:r>
            <w:r>
              <w:t xml:space="preserve">Other</w:t>
            </w:r>
            <w:r>
              <w:t xml:space="preserve">’</w:t>
            </w:r>
            <w:r>
              <w:t xml:space="preserve"> </w:t>
            </w:r>
            <w:r>
              <w:t xml:space="preserve">Confounding bias</w:t>
            </w:r>
          </w:p>
        </w:tc>
        <w:tc>
          <w:p>
            <w:pPr>
              <w:pStyle w:val="Compact"/>
              <w:jc w:val="left"/>
            </w:pPr>
            <w:r>
              <w:t xml:space="preserve">Included confounders in the IV analysis</w:t>
            </w:r>
          </w:p>
        </w:tc>
        <w:tc>
          <w:p>
            <w:pPr>
              <w:pStyle w:val="Compact"/>
              <w:jc w:val="left"/>
            </w:pPr>
            <w:r>
              <w:t xml:space="preserve">Yes</w:t>
            </w:r>
          </w:p>
        </w:tc>
        <w:tc>
          <w:p/>
        </w:tc>
        <w:tc>
          <w:p>
            <w:pPr>
              <w:pStyle w:val="Compact"/>
              <w:jc w:val="left"/>
            </w:pPr>
            <w:r>
              <w:t xml:space="preserve">No</w:t>
            </w:r>
          </w:p>
        </w:tc>
      </w:tr>
      <w:tr>
        <w:tc>
          <w:p>
            <w:pPr>
              <w:pStyle w:val="Compact"/>
              <w:jc w:val="left"/>
            </w:pPr>
            <w:r>
              <w:t xml:space="preserve">Additional direct effects between IV and outcome (exclusion restriction assumption)</w:t>
            </w:r>
          </w:p>
        </w:tc>
        <w:tc>
          <w:p>
            <w:pPr>
              <w:pStyle w:val="Compact"/>
              <w:jc w:val="left"/>
            </w:pPr>
            <w:r>
              <w:t xml:space="preserve">Presence of pleiotropy for genetic IVs</w:t>
            </w:r>
          </w:p>
        </w:tc>
        <w:tc>
          <w:p>
            <w:pPr>
              <w:pStyle w:val="Compact"/>
              <w:jc w:val="left"/>
            </w:pPr>
            <w:r>
              <w:t xml:space="preserve">Genetic IVs with no knowledge of mechanism for G-lipid association (e.g. GWAS hit, could be acting through any pathway…)</w:t>
            </w:r>
          </w:p>
        </w:tc>
        <w:tc>
          <w:p>
            <w:pPr>
              <w:pStyle w:val="Compact"/>
              <w:jc w:val="left"/>
            </w:pPr>
            <w:r>
              <w:t xml:space="preserve">Biologically plausible lipid-specific mechanism of association for G-lipid (e.g. lipid metabolising genetic variants)</w:t>
            </w:r>
          </w:p>
        </w:tc>
        <w:tc>
          <w:p>
            <w:pPr>
              <w:pStyle w:val="Compact"/>
              <w:jc w:val="left"/>
            </w:pPr>
            <w:r>
              <w:t xml:space="preserve">Same as moderate AND checks that there is no other known effect of genetic variants on outcome or its risk-factors</w:t>
            </w:r>
          </w:p>
        </w:tc>
      </w:tr>
      <w:tr>
        <w:tc>
          <w:p>
            <w:pPr>
              <w:pStyle w:val="Compact"/>
              <w:jc w:val="left"/>
            </w:pPr>
            <w:r>
              <w:t xml:space="preserve">Bias due to selection of participants</w:t>
            </w:r>
          </w:p>
        </w:tc>
        <w:tc>
          <w:p>
            <w:pPr>
              <w:pStyle w:val="Compact"/>
              <w:jc w:val="left"/>
            </w:pPr>
            <w:r>
              <w:t xml:space="preserve">Homogenous population or similar ancestry</w:t>
            </w:r>
          </w:p>
        </w:tc>
        <w:tc>
          <w:p/>
        </w:tc>
        <w:tc>
          <w:p/>
        </w:tc>
        <w:tc>
          <w:p/>
        </w:tc>
      </w:tr>
      <w:tr>
        <w:tc>
          <w:p>
            <w:pPr>
              <w:pStyle w:val="Compact"/>
              <w:jc w:val="left"/>
            </w:pPr>
            <w:r>
              <w:t xml:space="preserve">If no: Stratified by ethnicity or adjusted for population stratification (yes/no)</w:t>
            </w:r>
          </w:p>
        </w:tc>
        <w:tc>
          <w:p>
            <w:pPr>
              <w:pStyle w:val="Compact"/>
              <w:jc w:val="left"/>
            </w:pPr>
            <w:r>
              <w:t xml:space="preserve">Non-homogenous population (e.g. black and white together, etc.)</w:t>
            </w:r>
          </w:p>
        </w:tc>
        <w:tc>
          <w:p>
            <w:pPr>
              <w:pStyle w:val="Compact"/>
              <w:jc w:val="left"/>
            </w:pPr>
            <w:r>
              <w:t xml:space="preserve">Population described as homogenous (e.g. whites only) BUT not corrected for ancestry informative markers like principal components derived from GWAS</w:t>
            </w:r>
          </w:p>
        </w:tc>
        <w:tc>
          <w:p>
            <w:pPr>
              <w:pStyle w:val="Compact"/>
              <w:jc w:val="left"/>
            </w:pPr>
            <w:r>
              <w:t xml:space="preserve">Population described as homogenous (e.g. whites only) AND corrected for ancestry informative markers like principal components derived from GWAS</w:t>
            </w:r>
          </w:p>
        </w:tc>
        <w:tc>
          <w:p/>
        </w:tc>
      </w:tr>
    </w:tbl>
    <w:bookmarkEnd w:id="495"/>
    <w:bookmarkEnd w:id="496"/>
    <w:bookmarkStart w:id="499" w:name="appendix-cprd-analysis"/>
    <w:p>
      <w:pPr>
        <w:pStyle w:val="Heading2"/>
      </w:pPr>
      <w:r>
        <w:t xml:space="preserve">Chapter</w:t>
      </w:r>
      <w:r>
        <w:t xml:space="preserve"> </w:t>
      </w:r>
      <w:r>
        <w:t xml:space="preserve">5</w:t>
      </w:r>
    </w:p>
    <w:bookmarkStart w:id="497" w:name="appendix-cprd-amendments"/>
    <w:p>
      <w:pPr>
        <w:pStyle w:val="Heading3"/>
      </w:pPr>
      <w:r>
        <w:t xml:space="preserve">Amendments to protocol</w:t>
      </w:r>
    </w:p>
    <w:bookmarkEnd w:id="497"/>
    <w:bookmarkStart w:id="498" w:name="code-lists"/>
    <w:p>
      <w:pPr>
        <w:pStyle w:val="Heading3"/>
      </w:pPr>
      <w:r>
        <w:t xml:space="preserve">Code lists</w:t>
      </w:r>
    </w:p>
    <w:bookmarkEnd w:id="498"/>
    <w:bookmarkEnd w:id="499"/>
    <w:bookmarkStart w:id="502" w:name="appendix-ipd-analysis"/>
    <w:p>
      <w:pPr>
        <w:pStyle w:val="Heading2"/>
      </w:pPr>
      <w:r>
        <w:t xml:space="preserve">Chapter</w:t>
      </w:r>
      <w:r>
        <w:t xml:space="preserve"> </w:t>
      </w:r>
      <w:r>
        <w:t xml:space="preserve">6</w:t>
      </w:r>
    </w:p>
    <w:bookmarkStart w:id="500" w:name="section-1"/>
    <w:p>
      <w:pPr>
        <w:pStyle w:val="Heading3"/>
      </w:pPr>
      <w:r>
        <w:t xml:space="preserve">Section 1</w:t>
      </w:r>
    </w:p>
    <w:bookmarkEnd w:id="500"/>
    <w:bookmarkStart w:id="501" w:name="section-2"/>
    <w:p>
      <w:pPr>
        <w:pStyle w:val="Heading3"/>
      </w:pPr>
      <w:r>
        <w:t xml:space="preserve">Section 2</w:t>
      </w:r>
    </w:p>
    <w:bookmarkEnd w:id="501"/>
    <w:bookmarkEnd w:id="502"/>
    <w:bookmarkStart w:id="504" w:name="chapter-7"/>
    <w:p>
      <w:pPr>
        <w:pStyle w:val="Heading2"/>
      </w:pPr>
      <w:r>
        <w:t xml:space="preserve">Chapter</w:t>
      </w:r>
      <w:r>
        <w:t xml:space="preserve"> </w:t>
      </w:r>
      <w:r>
        <w:t xml:space="preserve">7</w:t>
      </w:r>
    </w:p>
    <w:bookmarkStart w:id="503" w:name="catalogue-of-failures"/>
    <w:p>
      <w:pPr>
        <w:pStyle w:val="Heading3"/>
      </w:pPr>
      <w:r>
        <w:t xml:space="preserve">Catalogue of failures</w:t>
      </w:r>
    </w:p>
    <w:p>
      <w:pPr>
        <w:pStyle w:val="FirstParagraph"/>
      </w:pPr>
      <w:r>
        <w:t xml:space="preserve">Short section detailing the things I tried to do but which did not work.</w:t>
      </w:r>
    </w:p>
    <w:bookmarkEnd w:id="503"/>
    <w:bookmarkEnd w:id="504"/>
    <w:bookmarkEnd w:id="505"/>
    <w:bookmarkStart w:id="518" w:name="other-appendix-heading"/>
    <w:p>
      <w:pPr>
        <w:pStyle w:val="Heading1"/>
      </w:pPr>
      <w:r>
        <w:t xml:space="preserve">Other Appendix</w:t>
      </w:r>
    </w:p>
    <w:bookmarkStart w:id="506"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iorxiv">
        <w:r>
          <w:rPr>
            <w:rStyle w:val="Hyperlink"/>
            <w:vertAlign w:val="superscript"/>
          </w:rPr>
          <w:t xml:space="preserve">136</w:t>
        </w:r>
      </w:hyperlink>
      <w:r>
        <w:rPr>
          <w:vertAlign w:val="superscript"/>
        </w:rPr>
        <w:t xml:space="preserve">,</w:t>
      </w:r>
      <w:hyperlink w:anchor="ref-base">
        <w:r>
          <w:rPr>
            <w:rStyle w:val="Hyperlink"/>
            <w:vertAlign w:val="superscript"/>
          </w:rPr>
          <w:t xml:space="preserve">211</w:t>
        </w:r>
      </w:hyperlink>
      <w:r>
        <w:rPr>
          <w:vertAlign w:val="superscript"/>
        </w:rPr>
        <w:t xml:space="preserve">–</w:t>
      </w:r>
      <w:hyperlink w:anchor="ref-xfun">
        <w:r>
          <w:rPr>
            <w:rStyle w:val="Hyperlink"/>
            <w:vertAlign w:val="superscript"/>
          </w:rPr>
          <w:t xml:space="preserve">227</w:t>
        </w:r>
      </w:hyperlink>
    </w:p>
    <w:p>
      <w:pPr>
        <w:pStyle w:val="BodyText"/>
      </w:pPr>
      <w:r>
        <w:t xml:space="preserve">All projects in these thesis attempt to conform to minimal best practices for research computing.</w:t>
      </w:r>
      <w:hyperlink w:anchor="ref-wilson2014">
        <w:r>
          <w:rPr>
            <w:rStyle w:val="Hyperlink"/>
            <w:vertAlign w:val="superscript"/>
          </w:rPr>
          <w:t xml:space="preserve">228</w:t>
        </w:r>
      </w:hyperlink>
      <w:r>
        <w:rPr>
          <w:vertAlign w:val="superscript"/>
        </w:rPr>
        <w:t xml:space="preserve">,</w:t>
      </w:r>
      <w:hyperlink w:anchor="ref-wilson2017">
        <w:r>
          <w:rPr>
            <w:rStyle w:val="Hyperlink"/>
            <w:vertAlign w:val="superscript"/>
          </w:rPr>
          <w:t xml:space="preserve">229</w:t>
        </w:r>
      </w:hyperlink>
    </w:p>
    <w:bookmarkEnd w:id="506"/>
    <w:bookmarkStart w:id="516" w:name="appendix-robvis"/>
    <w:p>
      <w:pPr>
        <w:pStyle w:val="Heading2"/>
      </w:pPr>
      <w:r>
        <w:t xml:space="preserve">Producing risk-of-bias visualisations with</w:t>
      </w:r>
      <w:r>
        <w:t xml:space="preserve"> </w:t>
      </w:r>
      <w:r>
        <w:rPr>
          <w:rStyle w:val="VerbatimChar"/>
        </w:rPr>
        <w:t xml:space="preserve">robvis</w:t>
      </w:r>
    </w:p>
    <w:bookmarkStart w:id="509" w:name="introduction-3"/>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vertAlign w:val="superscript"/>
          </w:rPr>
          <w:t xml:space="preserve">230</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vertAlign w:val="superscript"/>
          </w:rPr>
          <w:t xml:space="preserve">230</w:t>
        </w:r>
      </w:hyperlink>
      <w:r>
        <w:t xml:space="preserve"> </w:t>
      </w:r>
      <w:r>
        <w:t xml:space="preserve">These tools include the RoB 2 tool for randomized trials,</w:t>
      </w:r>
      <w:hyperlink w:anchor="ref-sterne2019rob">
        <w:r>
          <w:rPr>
            <w:rStyle w:val="Hyperlink"/>
            <w:vertAlign w:val="superscript"/>
          </w:rPr>
          <w:t xml:space="preserve">231</w:t>
        </w:r>
      </w:hyperlink>
      <w:r>
        <w:t xml:space="preserve"> </w:t>
      </w:r>
      <w:r>
        <w:t xml:space="preserve">the ROBINS-I tool for non-randomized studies of interventions,</w:t>
      </w:r>
      <w:hyperlink w:anchor="ref-sterne2016robins">
        <w:r>
          <w:rPr>
            <w:rStyle w:val="Hyperlink"/>
            <w:vertAlign w:val="superscript"/>
          </w:rPr>
          <w:t xml:space="preserve">232</w:t>
        </w:r>
      </w:hyperlink>
      <w:r>
        <w:t xml:space="preserve"> </w:t>
      </w:r>
      <w:r>
        <w:t xml:space="preserve">the QUADAS 2 tool for test accuracy and the ROBIS tool for systematic reviews.</w:t>
      </w:r>
      <w:hyperlink w:anchor="ref-whiting2011quadas">
        <w:r>
          <w:rPr>
            <w:rStyle w:val="Hyperlink"/>
            <w:vertAlign w:val="superscript"/>
          </w:rPr>
          <w:t xml:space="preserve">233</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vertAlign w:val="superscript"/>
          </w:rPr>
          <w:t xml:space="preserve">231</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vertAlign w:val="superscript"/>
          </w:rPr>
          <w:t xml:space="preserve">234</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vertAlign w:val="superscript"/>
          </w:rPr>
          <w:t xml:space="preserve">235</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vertAlign w:val="superscript"/>
          </w:rPr>
          <w:t xml:space="preserve">236</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vertAlign w:val="superscript"/>
          </w:rPr>
          <w:t xml:space="preserve">237</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vertAlign w:val="superscript"/>
          </w:rPr>
          <w:t xml:space="preserve">238</w:t>
        </w:r>
      </w:hyperlink>
      <w:r>
        <w:rPr>
          <w:vertAlign w:val="superscript"/>
        </w:rPr>
        <w:t xml:space="preserve">–</w:t>
      </w:r>
      <w:hyperlink w:anchor="ref-shinyref">
        <w:r>
          <w:rPr>
            <w:rStyle w:val="Hyperlink"/>
            <w:vertAlign w:val="superscript"/>
          </w:rPr>
          <w:t xml:space="preserve">240</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vertAlign w:val="superscript"/>
          </w:rPr>
          <w:t xml:space="preserve">241</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507">
        <w:r>
          <w:rPr>
            <w:rStyle w:val="Hyperlink"/>
          </w:rPr>
          <w:t xml:space="preserve">https://cran.r-project.org/package=robvis</w:t>
        </w:r>
      </w:hyperlink>
      <w:r>
        <w:t xml:space="preserve">); or access and contribute to the development version via GitHub (</w:t>
      </w:r>
      <w:hyperlink r:id="rId508">
        <w:r>
          <w:rPr>
            <w:rStyle w:val="Hyperlink"/>
          </w:rPr>
          <w:t xml:space="preserve">https://github.com/mcguinlu/robvis</w:t>
        </w:r>
      </w:hyperlink>
      <w:r>
        <w:t xml:space="preserve">).</w:t>
      </w:r>
    </w:p>
    <w:bookmarkEnd w:id="509"/>
    <w:bookmarkStart w:id="510"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gibb2019consistent">
        <w:r>
          <w:rPr>
            <w:rStyle w:val="Hyperlink"/>
            <w:vertAlign w:val="superscript"/>
          </w:rPr>
          <w:t xml:space="preserve">242</w:t>
        </w:r>
      </w:hyperlink>
      <w:r>
        <w:rPr>
          <w:vertAlign w:val="superscript"/>
        </w:rPr>
        <w:t xml:space="preserve">–</w:t>
      </w:r>
      <w:hyperlink w:anchor="ref-tanneru2020">
        <w:r>
          <w:rPr>
            <w:rStyle w:val="Hyperlink"/>
            <w:vertAlign w:val="superscript"/>
          </w:rPr>
          <w:t xml:space="preserve">246</w:t>
        </w:r>
      </w:hyperlink>
    </w:p>
    <w:bookmarkEnd w:id="510"/>
    <w:bookmarkStart w:id="511"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511"/>
    <w:bookmarkStart w:id="514"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17</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18</w:t>
      </w:r>
      <w:r>
        <w:t xml:space="preserve"> </w:t>
      </w:r>
      <w:r>
        <w:t xml:space="preserve">is created using:</w:t>
      </w:r>
    </w:p>
    <w:p>
      <w:pPr>
        <w:pStyle w:val="BodyText"/>
      </w:pPr>
      <w:r>
        <w:rPr>
          <w:bCs/>
          <w:b/>
        </w:rPr>
        <w:t xml:space="preserve">NEED TO ADD DATA HERE!</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18: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512"/>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18: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19</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19: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513"/>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19: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17</w:t>
      </w:r>
    </w:p>
    <w:p>
      <w:pPr>
        <w:pStyle w:val="BodyText"/>
      </w:pPr>
      <w:r>
        <w:t xml:space="preserve"> </w:t>
      </w:r>
    </w:p>
    <w:p>
      <w:pPr>
        <w:pStyle w:val="TableCaption"/>
      </w:pPr>
      <w:r>
        <w:t xml:space="preserve">Table 17: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tbl>
      <w:tblPr>
        <w:tblStyle w:val="Table"/>
        <w:tblW w:type="pct" w:w="5000.0"/>
        <w:tblLook w:firstRow="1" w:lastRow="0" w:firstColumn="0" w:lastColumn="0" w:noHBand="0" w:noVBand="0" w:val="0020"/>
        <w:tblCaption w:val="Table 17: Description of the arguments available in the two main robvis functions. ‘X’ indicates that the option is available for the respective function."/>
      </w:tblPr>
      <w:tblGrid>
        <w:gridCol w:w="183"/>
        <w:gridCol w:w="408"/>
        <w:gridCol w:w="285"/>
        <w:gridCol w:w="7042"/>
      </w:tblGrid>
      <w:tr>
        <w:tc>
          <w:p>
            <w:pPr>
              <w:pStyle w:val="Compact"/>
              <w:jc w:val="left"/>
            </w:pPr>
            <w:r>
              <w:t xml:space="preserve">Argument</w:t>
            </w:r>
          </w:p>
        </w:tc>
        <w:tc>
          <w:p>
            <w:pPr>
              <w:pStyle w:val="Compact"/>
              <w:jc w:val="left"/>
            </w:pPr>
            <w:r>
              <w:t xml:space="preserve">rob_traffic_light()</w:t>
            </w:r>
          </w:p>
        </w:tc>
        <w:tc>
          <w:p>
            <w:pPr>
              <w:pStyle w:val="Compact"/>
              <w:jc w:val="left"/>
            </w:pPr>
            <w:r>
              <w:t xml:space="preserve">rob_summary()</w:t>
            </w:r>
          </w:p>
        </w:tc>
        <w:tc>
          <w:p>
            <w:pPr>
              <w:pStyle w:val="Compact"/>
              <w:jc w:val="left"/>
            </w:pPr>
            <w:r>
              <w:t xml:space="preserve">Description</w:t>
            </w:r>
          </w:p>
        </w:tc>
      </w:tr>
      <w:tr>
        <w:tc>
          <w:p>
            <w:pPr>
              <w:pStyle w:val="Compact"/>
              <w:jc w:val="left"/>
            </w:pPr>
            <w:r>
              <w:t xml:space="preserve">data</w:t>
            </w:r>
          </w:p>
        </w:tc>
        <w:tc>
          <w:p>
            <w:pPr>
              <w:pStyle w:val="Compact"/>
              <w:jc w:val="left"/>
            </w:pPr>
            <w:r>
              <w:t xml:space="preserve">X</w:t>
            </w:r>
          </w:p>
        </w:tc>
        <w:tc>
          <w:p>
            <w:pPr>
              <w:pStyle w:val="Compact"/>
              <w:jc w:val="left"/>
            </w:pPr>
            <w:r>
              <w:t xml:space="preserve">X</w:t>
            </w:r>
          </w:p>
        </w:tc>
        <w:tc>
          <w:p>
            <w:pPr>
              <w:pStyle w:val="Compact"/>
              <w:jc w:val="left"/>
            </w:pPr>
            <w:r>
              <w:t xml:space="preserve">Defines the dataframe containing the summary (domain) level risk-of-bias assessments. See the text and Table 1 for the format expected by</w:t>
            </w:r>
            <w:r>
              <w:t xml:space="preserve"> </w:t>
            </w:r>
            <w:r>
              <w:rPr>
                <w:rStyle w:val="VerbatimChar"/>
              </w:rPr>
              <w:t xml:space="preserve">robvis</w:t>
            </w:r>
          </w:p>
        </w:tc>
      </w:tr>
      <w:tr>
        <w:tc>
          <w:p>
            <w:pPr>
              <w:pStyle w:val="Compact"/>
              <w:jc w:val="left"/>
            </w:pPr>
            <w:r>
              <w:t xml:space="preserve">tool</w:t>
            </w:r>
          </w:p>
        </w:tc>
        <w:tc>
          <w:p>
            <w:pPr>
              <w:pStyle w:val="Compact"/>
              <w:jc w:val="left"/>
            </w:pPr>
            <w:r>
              <w:t xml:space="preserve">X</w:t>
            </w:r>
          </w:p>
        </w:tc>
        <w:tc>
          <w:p>
            <w:pPr>
              <w:pStyle w:val="Compact"/>
              <w:jc w:val="left"/>
            </w:pPr>
            <w:r>
              <w:t xml:space="preserve">X</w:t>
            </w:r>
          </w:p>
        </w:tc>
        <w:tc>
          <w:p>
            <w:pPr>
              <w:pStyle w:val="Compact"/>
              <w:jc w:val="left"/>
            </w:pPr>
            <w:r>
              <w:t xml:space="preserve">Defines the risk of bias assessment tool used. The RoB2 (</w:t>
            </w:r>
            <w:r>
              <w:rPr>
                <w:rStyle w:val="VerbatimChar"/>
              </w:rPr>
              <w:t xml:space="preserve">tool="ROB2"</w:t>
            </w:r>
            <w:r>
              <w:t xml:space="preserve">), ROBINS-I (</w:t>
            </w:r>
            <w:r>
              <w:rPr>
                <w:rStyle w:val="VerbatimChar"/>
              </w:rPr>
              <w:t xml:space="preserve">tool="ROBINS-I"</w:t>
            </w:r>
            <w:r>
              <w:t xml:space="preserve">), and QUADAS-2 (</w:t>
            </w:r>
            <w:r>
              <w:rPr>
                <w:rStyle w:val="VerbatimChar"/>
              </w:rPr>
              <w:t xml:space="preserve">tool="QUADAS-2"</w:t>
            </w:r>
            <w:r>
              <w:t xml:space="preserve">) assessments tools are currently supported. Other tools can be visualised using the generic template (</w:t>
            </w:r>
            <w:r>
              <w:rPr>
                <w:rStyle w:val="VerbatimChar"/>
              </w:rPr>
              <w:t xml:space="preserve">tool = "Generic"</w:t>
            </w:r>
            <w:r>
              <w:t xml:space="preserve">)</w:t>
            </w:r>
          </w:p>
        </w:tc>
      </w:tr>
      <w:tr>
        <w:tc>
          <w:p>
            <w:pPr>
              <w:pStyle w:val="Compact"/>
              <w:jc w:val="left"/>
            </w:pPr>
            <w:r>
              <w:t xml:space="preserve">colour</w:t>
            </w:r>
          </w:p>
        </w:tc>
        <w:tc>
          <w:p>
            <w:pPr>
              <w:pStyle w:val="Compact"/>
              <w:jc w:val="left"/>
            </w:pPr>
            <w:r>
              <w:t xml:space="preserve">X</w:t>
            </w:r>
          </w:p>
        </w:tc>
        <w:tc>
          <w:p>
            <w:pPr>
              <w:pStyle w:val="Compact"/>
              <w:jc w:val="left"/>
            </w:pPr>
            <w:r>
              <w:t xml:space="preserve">X</w:t>
            </w:r>
          </w:p>
        </w:tc>
        <w:tc>
          <w:p>
            <w:pPr>
              <w:pStyle w:val="Compact"/>
              <w:jc w:val="left"/>
            </w:pPr>
            <w:r>
              <w:t xml:space="preserve">Defines the colour scheme for the plot. The default is</w:t>
            </w:r>
            <w:r>
              <w:t xml:space="preserve"> </w:t>
            </w:r>
            <w:r>
              <w:rPr>
                <w:rStyle w:val="VerbatimChar"/>
              </w:rPr>
              <w:t xml:space="preserve">colour = "cochrane"</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"colourblind"</w:t>
            </w:r>
            <w:r>
              <w:t xml:space="preserve">). Alternatively, users can specify their own colour scheme e.g. </w:t>
            </w:r>
            <w:r>
              <w:rPr>
                <w:rStyle w:val="VerbatimChar"/>
              </w:rPr>
              <w:t xml:space="preserve">colour = c("#f442c8", "#bef441", "#000000")</w:t>
            </w:r>
          </w:p>
        </w:tc>
      </w:tr>
      <w:tr>
        <w:tc>
          <w:p>
            <w:pPr>
              <w:pStyle w:val="Compact"/>
              <w:jc w:val="left"/>
            </w:pPr>
            <w:r>
              <w:t xml:space="preserve">overall</w:t>
            </w:r>
          </w:p>
        </w:tc>
        <w:tc>
          <w:p/>
        </w:tc>
        <w:tc>
          <w:p>
            <w:pPr>
              <w:pStyle w:val="Compact"/>
              <w:jc w:val="left"/>
            </w:pPr>
            <w:r>
              <w:t xml:space="preserve">X</w:t>
            </w:r>
          </w:p>
        </w:tc>
        <w:tc>
          <w:p>
            <w:pPr>
              <w:pStyle w:val="Compact"/>
              <w:jc w:val="lef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tc>
      </w:tr>
      <w:tr>
        <w:tc>
          <w:p>
            <w:pPr>
              <w:pStyle w:val="Compact"/>
              <w:jc w:val="left"/>
            </w:pPr>
            <w:r>
              <w:t xml:space="preserve">weighted</w:t>
            </w:r>
          </w:p>
        </w:tc>
        <w:tc>
          <w:p/>
        </w:tc>
        <w:tc>
          <w:p>
            <w:pPr>
              <w:pStyle w:val="Compact"/>
              <w:jc w:val="left"/>
            </w:pPr>
            <w:r>
              <w:t xml:space="preserve">X</w:t>
            </w:r>
          </w:p>
        </w:tc>
        <w:tc>
          <w:p>
            <w:pPr>
              <w:pStyle w:val="Compact"/>
              <w:jc w:val="lef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tc>
      </w:tr>
      <w:tr>
        <w:tc>
          <w:p>
            <w:pPr>
              <w:pStyle w:val="Compact"/>
              <w:jc w:val="left"/>
            </w:pPr>
            <w:r>
              <w:t xml:space="preserve">psize</w:t>
            </w:r>
          </w:p>
        </w:tc>
        <w:tc>
          <w:p>
            <w:pPr>
              <w:pStyle w:val="Compact"/>
              <w:jc w:val="left"/>
            </w:pPr>
            <w:r>
              <w:t xml:space="preserve">X</w:t>
            </w:r>
          </w:p>
        </w:tc>
        <w:tc>
          <w:p/>
        </w:tc>
        <w:tc>
          <w:p>
            <w:pPr>
              <w:pStyle w:val="Compact"/>
              <w:jc w:val="left"/>
            </w:pPr>
            <w:r>
              <w:t xml:space="preserve">Defines the size of the points in the traffic light plot. Default is</w:t>
            </w:r>
            <w:r>
              <w:t xml:space="preserve"> </w:t>
            </w:r>
            <w:r>
              <w:rPr>
                <w:rStyle w:val="VerbatimChar"/>
              </w:rPr>
              <w:t xml:space="preserve">psize = 20</w:t>
            </w:r>
            <w:r>
              <w:t xml:space="preserve">.</w:t>
            </w:r>
          </w:p>
        </w:tc>
      </w:tr>
    </w:tbl>
    <w:p>
      <w:pPr>
        <w:pStyle w:val="BodyText"/>
      </w:pPr>
      <w:r>
        <w:t xml:space="preserve"> </w:t>
      </w:r>
    </w:p>
    <w:bookmarkEnd w:id="514"/>
    <w:bookmarkStart w:id="515"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12600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vertAlign w:val="superscript"/>
          </w:rPr>
          <w:t xml:space="preserve">247</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vertAlign w:val="superscript"/>
          </w:rPr>
          <w:t xml:space="preserve">248</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vertAlign w:val="superscript"/>
          </w:rPr>
          <w:t xml:space="preserve">230</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515"/>
    <w:bookmarkEnd w:id="516"/>
    <w:bookmarkStart w:id="517" w:name="creating"/>
    <w:p>
      <w:pPr>
        <w:pStyle w:val="Heading2"/>
      </w:pPr>
      <w:r>
        <w:t xml:space="preserve">Creating</w:t>
      </w:r>
    </w:p>
    <w:bookmarkEnd w:id="517"/>
    <w:bookmarkEnd w:id="518"/>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Available at</w:t>
      </w:r>
      <w:r>
        <w:t xml:space="preserve"> </w:t>
      </w:r>
      <w:hyperlink r:id="rId70">
        <w:r>
          <w:rPr>
            <w:rStyle w:val="Hyperlink"/>
          </w:rPr>
          <w:t xml:space="preserve">https://rxivist.org/</w:t>
        </w:r>
      </w:hyperlink>
    </w:p>
  </w:footnote>
  <w:footnote w:id="83">
    <w:p>
      <w:pPr>
        <w:pStyle w:val="FootnoteText"/>
      </w:pPr>
      <w:r>
        <w:rPr>
          <w:rStyle w:val="FootnoteReference"/>
        </w:rPr>
        <w:footnoteRef/>
      </w:r>
      <w:r>
        <w:t xml:space="preserve"> </w:t>
      </w:r>
      <w:hyperlink r:id="rId84">
        <w:r>
          <w:rPr>
            <w:rStyle w:val="Hyperlink"/>
          </w:rPr>
          <w:t xml:space="preserve">https://github.com/ropensci/software-review/issues/380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37" Target="media/rId37.png" /><Relationship Type="http://schemas.openxmlformats.org/officeDocument/2006/relationships/image" Id="rId165" Target="media/rId165.png" /><Relationship Type="http://schemas.openxmlformats.org/officeDocument/2006/relationships/image" Id="rId149" Target="media/rId149.png" /><Relationship Type="http://schemas.openxmlformats.org/officeDocument/2006/relationships/image" Id="rId176" Target="media/rId176.jpg" /><Relationship Type="http://schemas.openxmlformats.org/officeDocument/2006/relationships/image" Id="rId170" Target="media/rId170.jpg" /><Relationship Type="http://schemas.openxmlformats.org/officeDocument/2006/relationships/image" Id="rId172" Target="media/rId172.jpg" /><Relationship Type="http://schemas.openxmlformats.org/officeDocument/2006/relationships/image" Id="rId168" Target="media/rId168.jpg" /><Relationship Type="http://schemas.openxmlformats.org/officeDocument/2006/relationships/image" Id="rId178" Target="media/rId178.jpg" /><Relationship Type="http://schemas.openxmlformats.org/officeDocument/2006/relationships/image" Id="rId180" Target="media/rId180.jpg" /><Relationship Type="http://schemas.openxmlformats.org/officeDocument/2006/relationships/image" Id="rId174" Target="media/rId174.jpg" /><Relationship Type="http://schemas.openxmlformats.org/officeDocument/2006/relationships/image" Id="rId154" Target="media/rId154.png" /><Relationship Type="http://schemas.openxmlformats.org/officeDocument/2006/relationships/image" Id="rId187" Target="media/rId187.png" /><Relationship Type="http://schemas.openxmlformats.org/officeDocument/2006/relationships/image" Id="rId157" Target="media/rId157.png" /><Relationship Type="http://schemas.openxmlformats.org/officeDocument/2006/relationships/image" Id="rId182" Target="media/rId182.png" /><Relationship Type="http://schemas.openxmlformats.org/officeDocument/2006/relationships/image" Id="rId76" Target="media/rId76.pn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66" Target="media/rId66.png" /><Relationship Type="http://schemas.openxmlformats.org/officeDocument/2006/relationships/image" Id="rId116" Target="media/rId116.png" /><Relationship Type="http://schemas.openxmlformats.org/officeDocument/2006/relationships/hyperlink" Id="rId203" Target="https://bmjopen.bmj.com/content/9/1/e025273" TargetMode="External" /><Relationship Type="http://schemas.openxmlformats.org/officeDocument/2006/relationships/hyperlink" Id="rId507" Target="https://cran.r-project.org/package=robvis" TargetMode="External" /><Relationship Type="http://schemas.openxmlformats.org/officeDocument/2006/relationships/hyperlink" Id="rId286" Target="https://doi.org/10.1002/14651858.CD003160.pub3" TargetMode="External" /><Relationship Type="http://schemas.openxmlformats.org/officeDocument/2006/relationships/hyperlink" Id="rId302"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9" Target="https://doi.org/10.1016/j.neuropharm.2020.108352" TargetMode="External" /><Relationship Type="http://schemas.openxmlformats.org/officeDocument/2006/relationships/hyperlink" Id="rId126" Target="https://doi.org/10.1101/168674" TargetMode="External" /><Relationship Type="http://schemas.openxmlformats.org/officeDocument/2006/relationships/hyperlink" Id="rId360" Target="https://doi.org/10.1101/19000265" TargetMode="External" /><Relationship Type="http://schemas.openxmlformats.org/officeDocument/2006/relationships/hyperlink" Id="rId478" Target="https://doi.org/10.1101/19005165" TargetMode="External" /><Relationship Type="http://schemas.openxmlformats.org/officeDocument/2006/relationships/hyperlink" Id="rId434" Target="https://doi.org/10.1101/2019.12.18.19013847" TargetMode="External" /><Relationship Type="http://schemas.openxmlformats.org/officeDocument/2006/relationships/hyperlink" Id="rId307" Target="https://doi.org/10.1101/2020.05.22.111294" TargetMode="External" /><Relationship Type="http://schemas.openxmlformats.org/officeDocument/2006/relationships/hyperlink" Id="rId352" Target="https://doi.org/10.1101/2020.11.23.394577" TargetMode="External" /><Relationship Type="http://schemas.openxmlformats.org/officeDocument/2006/relationships/hyperlink" Id="rId315" Target="https://doi.org/10.1101/2021.03.04.433874" TargetMode="External" /><Relationship Type="http://schemas.openxmlformats.org/officeDocument/2006/relationships/hyperlink" Id="rId340" Target="https://doi.org/10.1101/833400" TargetMode="External" /><Relationship Type="http://schemas.openxmlformats.org/officeDocument/2006/relationships/hyperlink" Id="rId401" Target="https://doi.org/10.1111/j.1447-0594.2009.00579.x" TargetMode="External" /><Relationship Type="http://schemas.openxmlformats.org/officeDocument/2006/relationships/hyperlink" Id="rId363" Target="https://doi.org/10.1136/bmj.l6365" TargetMode="External" /><Relationship Type="http://schemas.openxmlformats.org/officeDocument/2006/relationships/hyperlink" Id="rId470" Target="https://doi.org/10.1145/2745802.2745824" TargetMode="External" /><Relationship Type="http://schemas.openxmlformats.org/officeDocument/2006/relationships/hyperlink" Id="rId347"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9"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6"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7" Target="https://doi.org/10.3758/s13428-020-01436-x" TargetMode="External" /><Relationship Type="http://schemas.openxmlformats.org/officeDocument/2006/relationships/hyperlink" Id="rId476" Target="https://doi.org/10.5281/zenodo.3552342" TargetMode="External" /><Relationship Type="http://schemas.openxmlformats.org/officeDocument/2006/relationships/hyperlink" Id="rId508"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_rels/footnotes.xml.rels><?xml version="1.0" encoding="UTF-8"?>
<Relationships xmlns="http://schemas.openxmlformats.org/package/2006/relationships"><Relationship Type="http://schemas.openxmlformats.org/officeDocument/2006/relationships/hyperlink" Id="rId203" Target="https://bmjopen.bmj.com/content/9/1/e025273" TargetMode="External" /><Relationship Type="http://schemas.openxmlformats.org/officeDocument/2006/relationships/hyperlink" Id="rId507" Target="https://cran.r-project.org/package=robvis" TargetMode="External" /><Relationship Type="http://schemas.openxmlformats.org/officeDocument/2006/relationships/hyperlink" Id="rId286" Target="https://doi.org/10.1002/14651858.CD003160.pub3" TargetMode="External" /><Relationship Type="http://schemas.openxmlformats.org/officeDocument/2006/relationships/hyperlink" Id="rId302"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9" Target="https://doi.org/10.1016/j.neuropharm.2020.108352" TargetMode="External" /><Relationship Type="http://schemas.openxmlformats.org/officeDocument/2006/relationships/hyperlink" Id="rId126" Target="https://doi.org/10.1101/168674" TargetMode="External" /><Relationship Type="http://schemas.openxmlformats.org/officeDocument/2006/relationships/hyperlink" Id="rId360" Target="https://doi.org/10.1101/19000265" TargetMode="External" /><Relationship Type="http://schemas.openxmlformats.org/officeDocument/2006/relationships/hyperlink" Id="rId478" Target="https://doi.org/10.1101/19005165" TargetMode="External" /><Relationship Type="http://schemas.openxmlformats.org/officeDocument/2006/relationships/hyperlink" Id="rId434" Target="https://doi.org/10.1101/2019.12.18.19013847" TargetMode="External" /><Relationship Type="http://schemas.openxmlformats.org/officeDocument/2006/relationships/hyperlink" Id="rId307" Target="https://doi.org/10.1101/2020.05.22.111294" TargetMode="External" /><Relationship Type="http://schemas.openxmlformats.org/officeDocument/2006/relationships/hyperlink" Id="rId352" Target="https://doi.org/10.1101/2020.11.23.394577" TargetMode="External" /><Relationship Type="http://schemas.openxmlformats.org/officeDocument/2006/relationships/hyperlink" Id="rId315" Target="https://doi.org/10.1101/2021.03.04.433874" TargetMode="External" /><Relationship Type="http://schemas.openxmlformats.org/officeDocument/2006/relationships/hyperlink" Id="rId340" Target="https://doi.org/10.1101/833400" TargetMode="External" /><Relationship Type="http://schemas.openxmlformats.org/officeDocument/2006/relationships/hyperlink" Id="rId401" Target="https://doi.org/10.1111/j.1447-0594.2009.00579.x" TargetMode="External" /><Relationship Type="http://schemas.openxmlformats.org/officeDocument/2006/relationships/hyperlink" Id="rId363" Target="https://doi.org/10.1136/bmj.l6365" TargetMode="External" /><Relationship Type="http://schemas.openxmlformats.org/officeDocument/2006/relationships/hyperlink" Id="rId470" Target="https://doi.org/10.1145/2745802.2745824" TargetMode="External" /><Relationship Type="http://schemas.openxmlformats.org/officeDocument/2006/relationships/hyperlink" Id="rId347"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9"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6"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7" Target="https://doi.org/10.3758/s13428-020-01436-x" TargetMode="External" /><Relationship Type="http://schemas.openxmlformats.org/officeDocument/2006/relationships/hyperlink" Id="rId476" Target="https://doi.org/10.5281/zenodo.3552342" TargetMode="External" /><Relationship Type="http://schemas.openxmlformats.org/officeDocument/2006/relationships/hyperlink" Id="rId508"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Lipids and dementia: An investigation of their relationship</dc:title>
  <dc:creator>Luke A McGuinness</dc:creator>
  <cp:keywords/>
  <dcterms:created xsi:type="dcterms:W3CDTF">2021-06-15T15:34:38Z</dcterms:created>
  <dcterms:modified xsi:type="dcterms:W3CDTF">2021-06-15T15:34:38Z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ProfessionalThere are so many people without whom this would not have been possible:[Check all name spellings]Sharen O’Keffe Neal Haddaway Martin Westgaterobvis contributors: (there are at least 3)Annual reviewers: Rupert Payne and Emma AndersonThose who contributed their time to dual marking papers and code with me,Thanks to Francesca for sharing advance copy of review of Mendelian randomisation studies, to inform choice of tool.I am a NIHR Doctoral Research Fellow with grant code TBC. The funding source had no role in the design, conduct of the study, collection, management, analysis and interpretation or preparation, review, or approval of the thesis.Thanks also to all those who raised issues or otherwise provided feedback on the open source tools built as part of this thesis: @abannachbrown, @ailengt, @AJFOWLER, @danielskatz, @earcanal, @Jamesohare1, @jannisborn, @paulsharpeY, @rachaelmburke, @rdboyes, @seabbs, @vanAmsterdam, @yochannah, and @zaddyzad.Statistical support: check emails!All authors who volunteered time and effort to providedA special thanks goes out to Mark Newbury of thePersonalFinally,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vt:lpwstr>
  </property>
  <property fmtid="{D5CDD505-2E9C-101B-9397-08002B2CF9AE}" pid="15" name="degree">
    <vt:lpwstr>Doctor of Philosophy in Population Health Sciences</vt:lpwstr>
  </property>
  <property fmtid="{D5CDD505-2E9C-101B-9397-08002B2CF9AE}" pid="16" name="degreedate">
    <vt:lpwstr>TBC</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ies>
</file>